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0EF" w:rsidRPr="002B40EF" w:rsidRDefault="002B40EF" w:rsidP="002B40EF">
      <w:pPr>
        <w:jc w:val="center"/>
        <w:rPr>
          <w:b/>
          <w:u w:val="single"/>
        </w:rPr>
      </w:pPr>
      <w:r w:rsidRPr="002B40EF">
        <w:rPr>
          <w:b/>
          <w:u w:val="single"/>
        </w:rPr>
        <w:t>PROPOSTAS ENVIADAS PELA AASP</w:t>
      </w:r>
    </w:p>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1A0D9E" w:rsidTr="00174B6F">
        <w:tc>
          <w:tcPr>
            <w:tcW w:w="2977" w:type="dxa"/>
            <w:shd w:val="clear" w:color="auto" w:fill="F2F2F2" w:themeFill="background1" w:themeFillShade="F2"/>
            <w:vAlign w:val="center"/>
          </w:tcPr>
          <w:p w:rsidR="001A0D9E" w:rsidRDefault="001A0D9E" w:rsidP="00174B6F">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1A0D9E" w:rsidRDefault="001A0D9E" w:rsidP="00174B6F">
            <w:pPr>
              <w:spacing w:line="320" w:lineRule="exact"/>
              <w:jc w:val="both"/>
              <w:rPr>
                <w:rFonts w:ascii="Times New Roman" w:hAnsi="Times New Roman" w:cs="Times New Roman"/>
              </w:rPr>
            </w:pPr>
            <w:r>
              <w:rPr>
                <w:rFonts w:ascii="Times New Roman" w:hAnsi="Times New Roman" w:cs="Times New Roman"/>
              </w:rPr>
              <w:t>Anexo I, Art. 22, V</w:t>
            </w:r>
          </w:p>
        </w:tc>
      </w:tr>
      <w:tr w:rsidR="001A0D9E" w:rsidTr="00174B6F">
        <w:tc>
          <w:tcPr>
            <w:tcW w:w="2977" w:type="dxa"/>
            <w:shd w:val="clear" w:color="auto" w:fill="F2F2F2" w:themeFill="background1" w:themeFillShade="F2"/>
            <w:vAlign w:val="center"/>
          </w:tcPr>
          <w:p w:rsidR="001A0D9E" w:rsidRDefault="001A0D9E" w:rsidP="00174B6F">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1A0D9E" w:rsidRDefault="001A0D9E" w:rsidP="00174B6F">
            <w:pPr>
              <w:spacing w:line="320" w:lineRule="exact"/>
              <w:jc w:val="both"/>
              <w:rPr>
                <w:rFonts w:ascii="Times New Roman" w:hAnsi="Times New Roman" w:cs="Times New Roman"/>
              </w:rPr>
            </w:pPr>
            <w:r>
              <w:rPr>
                <w:rFonts w:ascii="Times New Roman" w:hAnsi="Times New Roman" w:cs="Times New Roman"/>
              </w:rPr>
              <w:t xml:space="preserve">V - identificar os processos </w:t>
            </w:r>
            <w:r>
              <w:rPr>
                <w:rFonts w:ascii="Times New Roman" w:hAnsi="Times New Roman" w:cs="Times New Roman"/>
                <w:b/>
              </w:rPr>
              <w:t xml:space="preserve">com flagrante intempestividade não </w:t>
            </w:r>
            <w:proofErr w:type="spellStart"/>
            <w:r>
              <w:rPr>
                <w:rFonts w:ascii="Times New Roman" w:hAnsi="Times New Roman" w:cs="Times New Roman"/>
                <w:b/>
              </w:rPr>
              <w:t>prequestionada</w:t>
            </w:r>
            <w:proofErr w:type="spellEnd"/>
            <w:r>
              <w:rPr>
                <w:rFonts w:ascii="Times New Roman" w:hAnsi="Times New Roman" w:cs="Times New Roman"/>
              </w:rPr>
              <w:t>, bem assim aqueles em que não conste recurso ou requerimento dirigido ao CARF, decisão de 1ª instância ou que| tratem de matéria estranha à competência do órgão; e</w:t>
            </w:r>
          </w:p>
        </w:tc>
      </w:tr>
      <w:tr w:rsidR="001A0D9E" w:rsidTr="00174B6F">
        <w:tc>
          <w:tcPr>
            <w:tcW w:w="2977" w:type="dxa"/>
            <w:shd w:val="clear" w:color="auto" w:fill="F2F2F2" w:themeFill="background1" w:themeFillShade="F2"/>
            <w:vAlign w:val="center"/>
          </w:tcPr>
          <w:p w:rsidR="001A0D9E" w:rsidRDefault="001A0D9E" w:rsidP="00174B6F">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1A0D9E" w:rsidRDefault="001A0D9E" w:rsidP="00174B6F">
            <w:pPr>
              <w:spacing w:line="320" w:lineRule="exact"/>
              <w:jc w:val="both"/>
              <w:rPr>
                <w:rFonts w:ascii="Times New Roman" w:hAnsi="Times New Roman" w:cs="Times New Roman"/>
              </w:rPr>
            </w:pPr>
            <w:r>
              <w:rPr>
                <w:rFonts w:ascii="Times New Roman" w:hAnsi="Times New Roman" w:cs="Times New Roman"/>
              </w:rPr>
              <w:t>O art.25, II, do Decreto 70.235/72 estabelece que o julgamento em segunda instância compete ao Conselho Administrativo de Recursos Fiscais, órgão colegiado e paritário, com atribuição de julgar recursos de ofício e voluntários de decisão de primeira instância, bem como recursos de natureza especial. Por sua vez, o art. 35 do mesmo Decreto 70.235/72 estabelece que “O recurso, mesmo perempto, será encaminhado ao órgão de segunda instância, que julgará a perempção”.</w:t>
            </w:r>
          </w:p>
          <w:p w:rsidR="001A0D9E" w:rsidRDefault="001A0D9E" w:rsidP="00174B6F">
            <w:pPr>
              <w:spacing w:line="320" w:lineRule="exact"/>
              <w:jc w:val="both"/>
              <w:rPr>
                <w:rFonts w:ascii="Times New Roman" w:hAnsi="Times New Roman" w:cs="Times New Roman"/>
              </w:rPr>
            </w:pPr>
            <w:r>
              <w:rPr>
                <w:rFonts w:ascii="Times New Roman" w:hAnsi="Times New Roman" w:cs="Times New Roman"/>
              </w:rPr>
              <w:t>O dispositivo em questão atribui competência à DISOR para avaliar a tempestividade ou não dos recursos, matéria esta cuja análise é competência dos colegiados que compõem o CARF. Desse modo, a atribuição dessa competência conflitaria com a legislação que rege o PAF.</w:t>
            </w:r>
          </w:p>
          <w:p w:rsidR="001A0D9E" w:rsidRDefault="001A0D9E" w:rsidP="00867639">
            <w:pPr>
              <w:spacing w:line="320" w:lineRule="exact"/>
              <w:jc w:val="both"/>
              <w:rPr>
                <w:rFonts w:ascii="Times New Roman" w:hAnsi="Times New Roman" w:cs="Times New Roman"/>
              </w:rPr>
            </w:pPr>
            <w:r>
              <w:rPr>
                <w:rFonts w:ascii="Times New Roman" w:hAnsi="Times New Roman" w:cs="Times New Roman"/>
              </w:rPr>
              <w:t xml:space="preserve">Sem prejuízo da competência dos colegiados, em prol da celeridade pretendida, entende-se possível manter a competência da DISOR, em caráter excepcional, </w:t>
            </w:r>
            <w:r w:rsidR="00867639">
              <w:rPr>
                <w:rFonts w:ascii="Times New Roman" w:hAnsi="Times New Roman" w:cs="Times New Roman"/>
              </w:rPr>
              <w:t>apenas para exame e triagem d</w:t>
            </w:r>
            <w:r>
              <w:rPr>
                <w:rFonts w:ascii="Times New Roman" w:hAnsi="Times New Roman" w:cs="Times New Roman"/>
              </w:rPr>
              <w:t>os casos</w:t>
            </w:r>
            <w:r w:rsidR="00867639">
              <w:rPr>
                <w:rFonts w:ascii="Times New Roman" w:hAnsi="Times New Roman" w:cs="Times New Roman"/>
              </w:rPr>
              <w:t xml:space="preserve"> com </w:t>
            </w:r>
            <w:r>
              <w:rPr>
                <w:rFonts w:ascii="Times New Roman" w:hAnsi="Times New Roman" w:cs="Times New Roman"/>
              </w:rPr>
              <w:t xml:space="preserve">flagrante tempestividade não </w:t>
            </w:r>
            <w:proofErr w:type="spellStart"/>
            <w:r>
              <w:rPr>
                <w:rFonts w:ascii="Times New Roman" w:hAnsi="Times New Roman" w:cs="Times New Roman"/>
              </w:rPr>
              <w:t>prequestionada</w:t>
            </w:r>
            <w:proofErr w:type="spellEnd"/>
            <w:r>
              <w:rPr>
                <w:rFonts w:ascii="Times New Roman" w:hAnsi="Times New Roman" w:cs="Times New Roman"/>
              </w:rPr>
              <w:t>, isto é, em que o recurso ou requerimento, apresentado fora do prazo, não</w:t>
            </w:r>
            <w:r w:rsidR="00867639">
              <w:rPr>
                <w:rFonts w:ascii="Times New Roman" w:hAnsi="Times New Roman" w:cs="Times New Roman"/>
              </w:rPr>
              <w:t xml:space="preserve"> apresente argumentos que justifiquem seu conhecimento ou impliquem sua</w:t>
            </w:r>
            <w:r>
              <w:rPr>
                <w:rFonts w:ascii="Times New Roman" w:hAnsi="Times New Roman" w:cs="Times New Roman"/>
              </w:rPr>
              <w:t xml:space="preserve"> tempestividade.</w:t>
            </w:r>
            <w:r w:rsidR="00867639">
              <w:rPr>
                <w:rFonts w:ascii="Times New Roman" w:hAnsi="Times New Roman" w:cs="Times New Roman"/>
              </w:rPr>
              <w:t xml:space="preserve"> </w:t>
            </w:r>
          </w:p>
        </w:tc>
      </w:tr>
    </w:tbl>
    <w:p w:rsidR="00E55BE7" w:rsidRDefault="00E55BE7"/>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18, XVIII</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B77B9B" w:rsidRDefault="002B40EF" w:rsidP="00672572">
            <w:pPr>
              <w:spacing w:line="320" w:lineRule="exact"/>
              <w:jc w:val="both"/>
              <w:rPr>
                <w:rFonts w:ascii="Times New Roman" w:hAnsi="Times New Roman" w:cs="Times New Roman"/>
              </w:rPr>
            </w:pPr>
            <w:r w:rsidRPr="00B77B9B">
              <w:rPr>
                <w:rFonts w:ascii="Times New Roman" w:hAnsi="Times New Roman" w:cs="Times New Roman"/>
              </w:rPr>
              <w:t>XVIII</w:t>
            </w:r>
            <w:r w:rsidRPr="00B77B9B">
              <w:rPr>
                <w:rFonts w:ascii="Times New Roman" w:hAnsi="Times New Roman" w:cs="Times New Roman"/>
                <w:spacing w:val="-1"/>
              </w:rPr>
              <w:t xml:space="preserve"> </w:t>
            </w:r>
            <w:r w:rsidRPr="00B77B9B">
              <w:rPr>
                <w:rFonts w:ascii="Times New Roman" w:hAnsi="Times New Roman" w:cs="Times New Roman"/>
              </w:rPr>
              <w:t>-</w:t>
            </w:r>
            <w:r w:rsidRPr="00B77B9B">
              <w:rPr>
                <w:rFonts w:ascii="Times New Roman" w:hAnsi="Times New Roman" w:cs="Times New Roman"/>
                <w:spacing w:val="-1"/>
              </w:rPr>
              <w:t xml:space="preserve"> </w:t>
            </w:r>
            <w:r w:rsidRPr="00B77B9B">
              <w:rPr>
                <w:rFonts w:ascii="Times New Roman" w:hAnsi="Times New Roman" w:cs="Times New Roman"/>
              </w:rPr>
              <w:t>declarar</w:t>
            </w:r>
            <w:r w:rsidRPr="00B77B9B">
              <w:rPr>
                <w:rFonts w:ascii="Times New Roman" w:hAnsi="Times New Roman" w:cs="Times New Roman"/>
                <w:spacing w:val="-1"/>
              </w:rPr>
              <w:t xml:space="preserve"> </w:t>
            </w:r>
            <w:r w:rsidRPr="00B77B9B">
              <w:rPr>
                <w:rFonts w:ascii="Times New Roman" w:hAnsi="Times New Roman" w:cs="Times New Roman"/>
              </w:rPr>
              <w:t>a</w:t>
            </w:r>
            <w:r w:rsidRPr="00B77B9B">
              <w:rPr>
                <w:rFonts w:ascii="Times New Roman" w:hAnsi="Times New Roman" w:cs="Times New Roman"/>
                <w:spacing w:val="-1"/>
              </w:rPr>
              <w:t xml:space="preserve"> </w:t>
            </w:r>
            <w:r w:rsidRPr="00B77B9B">
              <w:rPr>
                <w:rFonts w:ascii="Times New Roman" w:hAnsi="Times New Roman" w:cs="Times New Roman"/>
              </w:rPr>
              <w:t>renúncia</w:t>
            </w:r>
            <w:r w:rsidRPr="00B77B9B">
              <w:rPr>
                <w:rFonts w:ascii="Times New Roman" w:hAnsi="Times New Roman" w:cs="Times New Roman"/>
                <w:spacing w:val="-1"/>
              </w:rPr>
              <w:t xml:space="preserve"> </w:t>
            </w:r>
            <w:r w:rsidRPr="00B77B9B">
              <w:rPr>
                <w:rFonts w:ascii="Times New Roman" w:hAnsi="Times New Roman" w:cs="Times New Roman"/>
              </w:rPr>
              <w:t>à</w:t>
            </w:r>
            <w:r w:rsidRPr="00B77B9B">
              <w:rPr>
                <w:rFonts w:ascii="Times New Roman" w:hAnsi="Times New Roman" w:cs="Times New Roman"/>
                <w:spacing w:val="-1"/>
              </w:rPr>
              <w:t xml:space="preserve"> </w:t>
            </w:r>
            <w:r w:rsidRPr="00B77B9B">
              <w:rPr>
                <w:rFonts w:ascii="Times New Roman" w:hAnsi="Times New Roman" w:cs="Times New Roman"/>
              </w:rPr>
              <w:t xml:space="preserve">instância administrativa, por solicitação ou mediante anuência expressa do sujeito passivo, nesse último caso quando identificada pelo CARF e não </w:t>
            </w:r>
            <w:proofErr w:type="spellStart"/>
            <w:r w:rsidRPr="00B77B9B">
              <w:rPr>
                <w:rFonts w:ascii="Times New Roman" w:hAnsi="Times New Roman" w:cs="Times New Roman"/>
              </w:rPr>
              <w:t>pré</w:t>
            </w:r>
            <w:proofErr w:type="spellEnd"/>
            <w:r w:rsidRPr="00B77B9B">
              <w:rPr>
                <w:rFonts w:ascii="Times New Roman" w:hAnsi="Times New Roman" w:cs="Times New Roman"/>
              </w:rPr>
              <w:t>-questionada, na hipótese de concomitância de discussão administrativa com processo judicial relativa à totalidade do crédito tributário do processo</w:t>
            </w:r>
            <w:r>
              <w:rPr>
                <w:rFonts w:ascii="Times New Roman" w:hAnsi="Times New Roman" w:cs="Times New Roman"/>
              </w:rPr>
              <w:t>.</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B77B9B" w:rsidRDefault="002B40EF" w:rsidP="00672572">
            <w:pPr>
              <w:spacing w:line="320" w:lineRule="exact"/>
              <w:jc w:val="both"/>
              <w:rPr>
                <w:rFonts w:ascii="Times New Roman" w:eastAsia="Arial" w:hAnsi="Times New Roman" w:cs="Times New Roman"/>
              </w:rPr>
            </w:pPr>
            <w:r w:rsidRPr="00B77B9B">
              <w:rPr>
                <w:rFonts w:ascii="Times New Roman" w:hAnsi="Times New Roman" w:cs="Times New Roman"/>
              </w:rPr>
              <w:t>O art.25, II, do Decreto 70.235/72 estabelece que o julgamento em segunda instância compete ao Conselho Administrativo de Recursos Fiscais,</w:t>
            </w:r>
            <w:r>
              <w:rPr>
                <w:rFonts w:ascii="Times New Roman" w:hAnsi="Times New Roman" w:cs="Times New Roman"/>
              </w:rPr>
              <w:t xml:space="preserve"> </w:t>
            </w:r>
            <w:r w:rsidRPr="00B77B9B">
              <w:rPr>
                <w:rFonts w:ascii="Times New Roman" w:hAnsi="Times New Roman" w:cs="Times New Roman"/>
              </w:rPr>
              <w:t>órgão colegiado e paritário, com atribuição de julgar recursos de ofício e voluntários de decisão de primeira instância, bem como recursos de natureza especial.</w:t>
            </w:r>
          </w:p>
          <w:p w:rsidR="002B40EF" w:rsidRPr="00B77B9B" w:rsidRDefault="002B40EF" w:rsidP="00672572">
            <w:pPr>
              <w:spacing w:line="320" w:lineRule="exact"/>
              <w:jc w:val="both"/>
              <w:rPr>
                <w:rFonts w:ascii="Times New Roman" w:eastAsia="Arial" w:hAnsi="Times New Roman" w:cs="Times New Roman"/>
              </w:rPr>
            </w:pPr>
            <w:r w:rsidRPr="00B77B9B">
              <w:rPr>
                <w:rFonts w:ascii="Times New Roman" w:hAnsi="Times New Roman" w:cs="Times New Roman"/>
              </w:rPr>
              <w:lastRenderedPageBreak/>
              <w:t>O exame da ocorrência de concomitância, bem como a sua extensão, faz parte da análise dos pressupostos negativos de admissibilidade do recurso voluntário do contribuinte, sendo a matéria de competência exclusiva dos colegiados. Logo, entende-se que esse exame por despacho monocrático somente seria aceitável nos casos em que houver o prévio e expresso consentimento do contribuinte, sob pena de ofensa à legislação de regência do PAF.</w:t>
            </w:r>
          </w:p>
          <w:p w:rsidR="002B40EF" w:rsidRDefault="002B40EF" w:rsidP="00672572">
            <w:pPr>
              <w:spacing w:line="320" w:lineRule="exact"/>
              <w:jc w:val="both"/>
              <w:rPr>
                <w:rFonts w:ascii="Times New Roman" w:hAnsi="Times New Roman" w:cs="Times New Roman"/>
              </w:rPr>
            </w:pPr>
            <w:r w:rsidRPr="00B77B9B">
              <w:rPr>
                <w:rFonts w:ascii="Times New Roman" w:eastAsia="Arial" w:hAnsi="Times New Roman" w:cs="Times New Roman"/>
              </w:rPr>
              <w:t>Além disso, a partir da redação original apresentada, nos casos em que o contribuinte discordasse da concomitância reconhecida “de ofício” e monocraticamente, não haveria possibilidade de recurso para o Colegiado, restando apenas a via do mandado de segurança, o que iria na contramão da celeridade pretendida.</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20, XVI</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 xml:space="preserve">XVI – declarar a impossibilidade de cumprimento de resoluções </w:t>
            </w:r>
            <w:r>
              <w:rPr>
                <w:rFonts w:ascii="Times New Roman" w:hAnsi="Times New Roman" w:cs="Times New Roman"/>
                <w:b/>
              </w:rPr>
              <w:t xml:space="preserve">cuja concretização verifique-se inexequível pelo próprio Tribunal </w:t>
            </w:r>
            <w:r>
              <w:rPr>
                <w:rFonts w:ascii="Times New Roman" w:hAnsi="Times New Roman" w:cs="Times New Roman"/>
              </w:rPr>
              <w:t>em casos não previstos na legislação ou neste regimento e determinar a imediata tramitação dos processos que se encontrem nesta situação;</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Esse dispositivo atribui poderes à Presidência do CARF para devolver ao colegiado, para imediato julgamento, resolução que se revele impossível de ser cumprida, por falta de respaldo legal ou regimental.</w:t>
            </w:r>
          </w:p>
          <w:p w:rsidR="002B40EF" w:rsidRDefault="002B40EF" w:rsidP="00672572">
            <w:pPr>
              <w:spacing w:line="320" w:lineRule="exact"/>
              <w:jc w:val="both"/>
              <w:rPr>
                <w:rFonts w:ascii="Times New Roman" w:hAnsi="Times New Roman" w:cs="Times New Roman"/>
              </w:rPr>
            </w:pPr>
            <w:r>
              <w:rPr>
                <w:rFonts w:ascii="Times New Roman" w:hAnsi="Times New Roman" w:cs="Times New Roman"/>
              </w:rPr>
              <w:t xml:space="preserve">Tal disposição ofende ao princípio da colegialidade e da paridade, que impera no processo administrativo fiscal federal, por permitir que uma decisão colegiada seja objeto de sustação por ato monocrático do Presidente do CARF. </w:t>
            </w:r>
          </w:p>
          <w:p w:rsidR="002B40EF" w:rsidRDefault="002B40EF" w:rsidP="00672572">
            <w:pPr>
              <w:spacing w:line="320" w:lineRule="exact"/>
              <w:jc w:val="both"/>
              <w:rPr>
                <w:rFonts w:ascii="Times New Roman" w:hAnsi="Times New Roman" w:cs="Times New Roman"/>
              </w:rPr>
            </w:pPr>
            <w:r>
              <w:rPr>
                <w:rFonts w:ascii="Times New Roman" w:hAnsi="Times New Roman" w:cs="Times New Roman"/>
              </w:rPr>
              <w:t xml:space="preserve">Além disso, a exposição de motivos se refere à “falta de respaldo legal ou regimental”, o que possui uma interpretação absolutamente dúbia, sobretudo em razão da possibilidade expressa de aplicação supletiva e subsidiária do CPC/2015, nos casos lacunosos na legislação do PAF, inclusive no que diz respeito aos sobrestamentos. Desse modo, o entendimento da Presidência poderia, eventualmente, ir na contramão da posição do Colegiado acerca da necessidade de sobrestamento em determinado caso, hipótese </w:t>
            </w:r>
            <w:proofErr w:type="spellStart"/>
            <w:r>
              <w:rPr>
                <w:rFonts w:ascii="Times New Roman" w:hAnsi="Times New Roman" w:cs="Times New Roman"/>
              </w:rPr>
              <w:t>esta</w:t>
            </w:r>
            <w:proofErr w:type="spellEnd"/>
            <w:r>
              <w:rPr>
                <w:rFonts w:ascii="Times New Roman" w:hAnsi="Times New Roman" w:cs="Times New Roman"/>
              </w:rPr>
              <w:t xml:space="preserve"> em que deveria, a rigor, prevalecer o entendimento do Colegiado competente para o julgamento.</w:t>
            </w:r>
          </w:p>
          <w:p w:rsidR="002B40EF" w:rsidRDefault="002B40EF" w:rsidP="00672572">
            <w:pPr>
              <w:spacing w:line="320" w:lineRule="exact"/>
              <w:jc w:val="both"/>
              <w:rPr>
                <w:rFonts w:ascii="Times New Roman" w:hAnsi="Times New Roman" w:cs="Times New Roman"/>
              </w:rPr>
            </w:pPr>
            <w:r>
              <w:rPr>
                <w:rFonts w:ascii="Times New Roman" w:hAnsi="Times New Roman" w:cs="Times New Roman"/>
              </w:rPr>
              <w:t xml:space="preserve">Por outro lado, em que pesem as considerações acima, é preciso observar que algumas resoluções deliberadas pelo colegiado por vezes se mostram de impossível execução pelo CARF. Para tais casos excepcionais, deve-se preservar a competência da Presidência do Tribunal prevista no referido dispositivo, motivo </w:t>
            </w:r>
            <w:r>
              <w:rPr>
                <w:rFonts w:ascii="Times New Roman" w:hAnsi="Times New Roman" w:cs="Times New Roman"/>
              </w:rPr>
              <w:lastRenderedPageBreak/>
              <w:t>pelo qual a sugestão de redação proposta visa limitar tal atribuição somente às situações específicas de resoluções que se mostrem efetivamente inexequíveis pelo próprio CARF.</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20, XVII</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2C20EC" w:rsidRDefault="002B40EF" w:rsidP="00672572">
            <w:pPr>
              <w:spacing w:line="320" w:lineRule="exact"/>
              <w:jc w:val="both"/>
              <w:rPr>
                <w:rFonts w:ascii="Times New Roman" w:hAnsi="Times New Roman" w:cs="Times New Roman"/>
              </w:rPr>
            </w:pPr>
            <w:r w:rsidRPr="002C20EC">
              <w:rPr>
                <w:rFonts w:ascii="Times New Roman" w:hAnsi="Times New Roman" w:cs="Times New Roman"/>
              </w:rPr>
              <w:t>Supressão do inciso.</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2C20EC" w:rsidRDefault="002B40EF" w:rsidP="00672572">
            <w:pPr>
              <w:spacing w:line="320" w:lineRule="exact"/>
              <w:jc w:val="both"/>
              <w:rPr>
                <w:rFonts w:ascii="Times New Roman" w:eastAsia="Arial" w:hAnsi="Times New Roman" w:cs="Times New Roman"/>
                <w:szCs w:val="24"/>
              </w:rPr>
            </w:pPr>
            <w:r w:rsidRPr="002C20EC">
              <w:rPr>
                <w:rFonts w:ascii="Times New Roman" w:hAnsi="Times New Roman" w:cs="Times New Roman"/>
              </w:rPr>
              <w:t>H</w:t>
            </w:r>
            <w:r>
              <w:rPr>
                <w:rFonts w:ascii="Times New Roman" w:hAnsi="Times New Roman" w:cs="Times New Roman"/>
              </w:rPr>
              <w:t>avendo</w:t>
            </w:r>
            <w:r w:rsidRPr="002C20EC">
              <w:rPr>
                <w:rFonts w:ascii="Times New Roman" w:hAnsi="Times New Roman" w:cs="Times New Roman"/>
              </w:rPr>
              <w:t xml:space="preserve"> decisão de um colegiado que entendeu pela sua competência para o julgamento</w:t>
            </w:r>
            <w:r>
              <w:rPr>
                <w:rFonts w:ascii="Times New Roman" w:hAnsi="Times New Roman" w:cs="Times New Roman"/>
              </w:rPr>
              <w:t xml:space="preserve"> do feito, esta não </w:t>
            </w:r>
            <w:r w:rsidRPr="002C20EC">
              <w:rPr>
                <w:rFonts w:ascii="Times New Roman" w:hAnsi="Times New Roman" w:cs="Times New Roman"/>
              </w:rPr>
              <w:t xml:space="preserve">pode ser anulada por decisão monocrática, </w:t>
            </w:r>
            <w:r>
              <w:rPr>
                <w:rFonts w:ascii="Times New Roman" w:hAnsi="Times New Roman" w:cs="Times New Roman"/>
              </w:rPr>
              <w:t>mas apenas no âmbito dos recursos cabíveis que sejam porventura contra ela apresentados. N</w:t>
            </w:r>
            <w:r w:rsidRPr="002C20EC">
              <w:rPr>
                <w:rFonts w:ascii="Times New Roman" w:hAnsi="Times New Roman" w:cs="Times New Roman"/>
              </w:rPr>
              <w:t>ão há previsão</w:t>
            </w:r>
            <w:r>
              <w:rPr>
                <w:rFonts w:ascii="Times New Roman" w:hAnsi="Times New Roman" w:cs="Times New Roman"/>
              </w:rPr>
              <w:t xml:space="preserve"> para a decisão monocrática em questão</w:t>
            </w:r>
            <w:r w:rsidRPr="002C20EC">
              <w:rPr>
                <w:rFonts w:ascii="Times New Roman" w:hAnsi="Times New Roman" w:cs="Times New Roman"/>
              </w:rPr>
              <w:t xml:space="preserve"> no Decreto 70.235/72, de modo que tal disposição fere o princípio da legalidade.</w:t>
            </w:r>
          </w:p>
          <w:p w:rsidR="002B40EF" w:rsidRDefault="002B40EF" w:rsidP="00672572">
            <w:pPr>
              <w:spacing w:line="320" w:lineRule="exact"/>
              <w:jc w:val="both"/>
              <w:rPr>
                <w:rFonts w:ascii="Times New Roman" w:hAnsi="Times New Roman" w:cs="Times New Roman"/>
              </w:rPr>
            </w:pP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30, § 7º</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4E5932" w:rsidRDefault="002B40EF" w:rsidP="00672572">
            <w:pPr>
              <w:spacing w:line="320" w:lineRule="exact"/>
              <w:jc w:val="both"/>
              <w:rPr>
                <w:rFonts w:ascii="Times New Roman" w:hAnsi="Times New Roman" w:cs="Times New Roman"/>
              </w:rPr>
            </w:pPr>
            <w:r w:rsidRPr="004E5932">
              <w:rPr>
                <w:rFonts w:ascii="Times New Roman" w:eastAsia="Arial" w:hAnsi="Times New Roman" w:cs="Times New Roman"/>
              </w:rPr>
              <w:t>§ 7º A transferência de mandato de conselheiro entre Seções de Julgamento, bem como a indicação de conselheiro suplente para mandato de conselheiro titular, deverá ser submetida à deliberação do CSC.</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4E5932" w:rsidRDefault="002B40EF" w:rsidP="00672572">
            <w:pPr>
              <w:spacing w:line="320" w:lineRule="exact"/>
              <w:jc w:val="both"/>
              <w:rPr>
                <w:rFonts w:ascii="Times New Roman" w:eastAsia="Arial" w:hAnsi="Times New Roman" w:cs="Times New Roman"/>
                <w:szCs w:val="24"/>
              </w:rPr>
            </w:pPr>
            <w:r w:rsidRPr="004E5932">
              <w:rPr>
                <w:rFonts w:ascii="Times New Roman" w:hAnsi="Times New Roman" w:cs="Times New Roman"/>
              </w:rPr>
              <w:t>A</w:t>
            </w:r>
            <w:r w:rsidRPr="004E5932">
              <w:rPr>
                <w:rFonts w:ascii="Times New Roman" w:hAnsi="Times New Roman" w:cs="Times New Roman"/>
                <w:spacing w:val="-1"/>
              </w:rPr>
              <w:t xml:space="preserve"> </w:t>
            </w:r>
            <w:r w:rsidRPr="004E5932">
              <w:rPr>
                <w:rFonts w:ascii="Times New Roman" w:hAnsi="Times New Roman" w:cs="Times New Roman"/>
              </w:rPr>
              <w:t>supressão da lista</w:t>
            </w:r>
            <w:r w:rsidRPr="004E5932">
              <w:rPr>
                <w:rFonts w:ascii="Times New Roman" w:hAnsi="Times New Roman" w:cs="Times New Roman"/>
                <w:spacing w:val="-1"/>
              </w:rPr>
              <w:t xml:space="preserve"> </w:t>
            </w:r>
            <w:r w:rsidRPr="004E5932">
              <w:rPr>
                <w:rFonts w:ascii="Times New Roman" w:hAnsi="Times New Roman" w:cs="Times New Roman"/>
              </w:rPr>
              <w:t>tríplice impedir</w:t>
            </w:r>
            <w:r>
              <w:rPr>
                <w:rFonts w:ascii="Times New Roman" w:hAnsi="Times New Roman" w:cs="Times New Roman"/>
              </w:rPr>
              <w:t>ia</w:t>
            </w:r>
            <w:r w:rsidRPr="004E5932">
              <w:rPr>
                <w:rFonts w:ascii="Times New Roman" w:hAnsi="Times New Roman" w:cs="Times New Roman"/>
              </w:rPr>
              <w:t xml:space="preserve"> a escolha</w:t>
            </w:r>
            <w:r>
              <w:rPr>
                <w:rFonts w:ascii="Times New Roman" w:hAnsi="Times New Roman" w:cs="Times New Roman"/>
              </w:rPr>
              <w:t>,</w:t>
            </w:r>
            <w:r w:rsidRPr="004E5932">
              <w:rPr>
                <w:rFonts w:ascii="Times New Roman" w:hAnsi="Times New Roman" w:cs="Times New Roman"/>
              </w:rPr>
              <w:t xml:space="preserve"> pelo CSC</w:t>
            </w:r>
            <w:r>
              <w:rPr>
                <w:rFonts w:ascii="Times New Roman" w:hAnsi="Times New Roman" w:cs="Times New Roman"/>
              </w:rPr>
              <w:t>,</w:t>
            </w:r>
            <w:r w:rsidRPr="004E5932">
              <w:rPr>
                <w:rFonts w:ascii="Times New Roman" w:hAnsi="Times New Roman" w:cs="Times New Roman"/>
              </w:rPr>
              <w:t xml:space="preserve"> do profissional mais adequado à vaga</w:t>
            </w:r>
            <w:r>
              <w:rPr>
                <w:rFonts w:ascii="Times New Roman" w:hAnsi="Times New Roman" w:cs="Times New Roman"/>
              </w:rPr>
              <w:t>. A</w:t>
            </w:r>
            <w:r w:rsidRPr="004E5932">
              <w:rPr>
                <w:rFonts w:ascii="Times New Roman" w:hAnsi="Times New Roman" w:cs="Times New Roman"/>
              </w:rPr>
              <w:t>demais</w:t>
            </w:r>
            <w:r>
              <w:rPr>
                <w:rFonts w:ascii="Times New Roman" w:hAnsi="Times New Roman" w:cs="Times New Roman"/>
              </w:rPr>
              <w:t>,</w:t>
            </w:r>
            <w:r w:rsidRPr="004E5932">
              <w:rPr>
                <w:rFonts w:ascii="Times New Roman" w:hAnsi="Times New Roman" w:cs="Times New Roman"/>
              </w:rPr>
              <w:t xml:space="preserve"> poder</w:t>
            </w:r>
            <w:r>
              <w:rPr>
                <w:rFonts w:ascii="Times New Roman" w:hAnsi="Times New Roman" w:cs="Times New Roman"/>
              </w:rPr>
              <w:t>ia</w:t>
            </w:r>
            <w:r w:rsidRPr="004E5932">
              <w:rPr>
                <w:rFonts w:ascii="Times New Roman" w:hAnsi="Times New Roman" w:cs="Times New Roman"/>
              </w:rPr>
              <w:t xml:space="preserve"> impedir que mais de um Conselheiro</w:t>
            </w:r>
            <w:r>
              <w:rPr>
                <w:rFonts w:ascii="Times New Roman" w:hAnsi="Times New Roman" w:cs="Times New Roman"/>
              </w:rPr>
              <w:t xml:space="preserve"> suplente ou de outra Seção se candidatasse à mesma vaga.</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33, § 1º</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184400" w:rsidRDefault="002B40EF" w:rsidP="00672572">
            <w:pPr>
              <w:spacing w:line="320" w:lineRule="exact"/>
              <w:jc w:val="both"/>
              <w:rPr>
                <w:rFonts w:ascii="Times New Roman" w:hAnsi="Times New Roman" w:cs="Times New Roman"/>
              </w:rPr>
            </w:pPr>
            <w:r w:rsidRPr="00184400">
              <w:rPr>
                <w:rFonts w:ascii="Times New Roman" w:hAnsi="Times New Roman" w:cs="Times New Roman"/>
              </w:rPr>
              <w:t>Supressão do parágrafo.</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184400" w:rsidRDefault="002B40EF" w:rsidP="00672572">
            <w:pPr>
              <w:spacing w:line="320" w:lineRule="exact"/>
              <w:jc w:val="both"/>
              <w:rPr>
                <w:rFonts w:ascii="Times New Roman" w:eastAsia="Arial" w:hAnsi="Times New Roman" w:cs="Times New Roman"/>
                <w:szCs w:val="24"/>
              </w:rPr>
            </w:pPr>
            <w:r w:rsidRPr="00184400">
              <w:rPr>
                <w:rFonts w:ascii="Times New Roman" w:hAnsi="Times New Roman" w:cs="Times New Roman"/>
              </w:rPr>
              <w:t xml:space="preserve">Se o Conselheiro </w:t>
            </w:r>
            <w:r>
              <w:rPr>
                <w:rFonts w:ascii="Times New Roman" w:hAnsi="Times New Roman" w:cs="Times New Roman"/>
              </w:rPr>
              <w:t xml:space="preserve">tiver </w:t>
            </w:r>
            <w:r w:rsidRPr="00184400">
              <w:rPr>
                <w:rFonts w:ascii="Times New Roman" w:hAnsi="Times New Roman" w:cs="Times New Roman"/>
              </w:rPr>
              <w:t>deix</w:t>
            </w:r>
            <w:r>
              <w:rPr>
                <w:rFonts w:ascii="Times New Roman" w:hAnsi="Times New Roman" w:cs="Times New Roman"/>
              </w:rPr>
              <w:t>ad</w:t>
            </w:r>
            <w:r w:rsidRPr="00184400">
              <w:rPr>
                <w:rFonts w:ascii="Times New Roman" w:hAnsi="Times New Roman" w:cs="Times New Roman"/>
              </w:rPr>
              <w:t>o de observar o Regimento</w:t>
            </w:r>
            <w:r w:rsidRPr="00184400">
              <w:rPr>
                <w:rFonts w:ascii="Times New Roman" w:hAnsi="Times New Roman" w:cs="Times New Roman"/>
                <w:spacing w:val="-1"/>
              </w:rPr>
              <w:t xml:space="preserve"> </w:t>
            </w:r>
            <w:r w:rsidRPr="00184400">
              <w:rPr>
                <w:rFonts w:ascii="Times New Roman" w:hAnsi="Times New Roman" w:cs="Times New Roman"/>
              </w:rPr>
              <w:t>Interno</w:t>
            </w:r>
            <w:r w:rsidRPr="00184400">
              <w:rPr>
                <w:rFonts w:ascii="Times New Roman" w:hAnsi="Times New Roman" w:cs="Times New Roman"/>
                <w:spacing w:val="-1"/>
              </w:rPr>
              <w:t xml:space="preserve"> </w:t>
            </w:r>
            <w:r w:rsidRPr="00184400">
              <w:rPr>
                <w:rFonts w:ascii="Times New Roman" w:hAnsi="Times New Roman" w:cs="Times New Roman"/>
              </w:rPr>
              <w:t>ou</w:t>
            </w:r>
            <w:r w:rsidRPr="00184400">
              <w:rPr>
                <w:rFonts w:ascii="Times New Roman" w:hAnsi="Times New Roman" w:cs="Times New Roman"/>
                <w:spacing w:val="-1"/>
              </w:rPr>
              <w:t xml:space="preserve"> </w:t>
            </w:r>
            <w:r w:rsidRPr="00184400">
              <w:rPr>
                <w:rFonts w:ascii="Times New Roman" w:hAnsi="Times New Roman" w:cs="Times New Roman"/>
              </w:rPr>
              <w:t>o</w:t>
            </w:r>
            <w:r w:rsidRPr="00184400">
              <w:rPr>
                <w:rFonts w:ascii="Times New Roman" w:hAnsi="Times New Roman" w:cs="Times New Roman"/>
                <w:spacing w:val="-1"/>
              </w:rPr>
              <w:t xml:space="preserve"> </w:t>
            </w:r>
            <w:r w:rsidRPr="00184400">
              <w:rPr>
                <w:rFonts w:ascii="Times New Roman" w:hAnsi="Times New Roman" w:cs="Times New Roman"/>
              </w:rPr>
              <w:t>Código</w:t>
            </w:r>
            <w:r w:rsidRPr="00184400">
              <w:rPr>
                <w:rFonts w:ascii="Times New Roman" w:hAnsi="Times New Roman" w:cs="Times New Roman"/>
                <w:spacing w:val="-1"/>
              </w:rPr>
              <w:t xml:space="preserve"> </w:t>
            </w:r>
            <w:r w:rsidRPr="00184400">
              <w:rPr>
                <w:rFonts w:ascii="Times New Roman" w:hAnsi="Times New Roman" w:cs="Times New Roman"/>
              </w:rPr>
              <w:t>de</w:t>
            </w:r>
            <w:r w:rsidRPr="00184400">
              <w:rPr>
                <w:rFonts w:ascii="Times New Roman" w:hAnsi="Times New Roman" w:cs="Times New Roman"/>
                <w:spacing w:val="-1"/>
              </w:rPr>
              <w:t xml:space="preserve"> </w:t>
            </w:r>
            <w:r w:rsidRPr="00184400">
              <w:rPr>
                <w:rFonts w:ascii="Times New Roman" w:hAnsi="Times New Roman" w:cs="Times New Roman"/>
              </w:rPr>
              <w:t>Ética,</w:t>
            </w:r>
            <w:r w:rsidRPr="00184400">
              <w:rPr>
                <w:rFonts w:ascii="Times New Roman" w:hAnsi="Times New Roman" w:cs="Times New Roman"/>
                <w:w w:val="99"/>
              </w:rPr>
              <w:t xml:space="preserve"> </w:t>
            </w:r>
            <w:r w:rsidRPr="00184400">
              <w:rPr>
                <w:rFonts w:ascii="Times New Roman" w:hAnsi="Times New Roman" w:cs="Times New Roman"/>
              </w:rPr>
              <w:t>deve</w:t>
            </w:r>
            <w:r>
              <w:rPr>
                <w:rFonts w:ascii="Times New Roman" w:hAnsi="Times New Roman" w:cs="Times New Roman"/>
              </w:rPr>
              <w:t>rá ser instaurado</w:t>
            </w:r>
            <w:r w:rsidRPr="00184400">
              <w:rPr>
                <w:rFonts w:ascii="Times New Roman" w:hAnsi="Times New Roman" w:cs="Times New Roman"/>
              </w:rPr>
              <w:t xml:space="preserve"> o competente processo disciplinar</w:t>
            </w:r>
            <w:r>
              <w:rPr>
                <w:rFonts w:ascii="Times New Roman" w:hAnsi="Times New Roman" w:cs="Times New Roman"/>
              </w:rPr>
              <w:t>,</w:t>
            </w:r>
            <w:r w:rsidRPr="00184400">
              <w:rPr>
                <w:rFonts w:ascii="Times New Roman" w:hAnsi="Times New Roman" w:cs="Times New Roman"/>
              </w:rPr>
              <w:t xml:space="preserve"> não cabendo tal análise ao CSC.</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41, V</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lastRenderedPageBreak/>
              <w:t>Redação Proposta</w:t>
            </w:r>
          </w:p>
        </w:tc>
        <w:tc>
          <w:tcPr>
            <w:tcW w:w="7371" w:type="dxa"/>
          </w:tcPr>
          <w:p w:rsidR="002B40EF" w:rsidRPr="009801D5" w:rsidRDefault="002B40EF" w:rsidP="00672572">
            <w:pPr>
              <w:spacing w:line="320" w:lineRule="exact"/>
              <w:jc w:val="both"/>
              <w:rPr>
                <w:rFonts w:ascii="Times New Roman" w:hAnsi="Times New Roman" w:cs="Times New Roman"/>
              </w:rPr>
            </w:pPr>
            <w:r w:rsidRPr="009801D5">
              <w:rPr>
                <w:rFonts w:ascii="Times New Roman" w:hAnsi="Times New Roman" w:cs="Times New Roman"/>
              </w:rPr>
              <w:t>V- disponibilizar ao colegiado, em diretório institucional do CARF,</w:t>
            </w:r>
            <w:r w:rsidRPr="009801D5">
              <w:rPr>
                <w:rFonts w:ascii="Times New Roman" w:hAnsi="Times New Roman" w:cs="Times New Roman"/>
                <w:w w:val="99"/>
              </w:rPr>
              <w:t xml:space="preserve"> </w:t>
            </w:r>
            <w:r w:rsidRPr="009801D5">
              <w:rPr>
                <w:rFonts w:ascii="Times New Roman" w:hAnsi="Times New Roman" w:cs="Times New Roman"/>
              </w:rPr>
              <w:t xml:space="preserve">previamente ao início do julgamento de </w:t>
            </w:r>
            <w:proofErr w:type="spellStart"/>
            <w:r w:rsidRPr="009801D5">
              <w:rPr>
                <w:rFonts w:ascii="Times New Roman" w:hAnsi="Times New Roman" w:cs="Times New Roman"/>
              </w:rPr>
              <w:t>processo</w:t>
            </w:r>
            <w:proofErr w:type="spellEnd"/>
            <w:r w:rsidRPr="009801D5">
              <w:rPr>
                <w:rFonts w:ascii="Times New Roman" w:hAnsi="Times New Roman" w:cs="Times New Roman"/>
              </w:rPr>
              <w:t xml:space="preserve"> de sua relatoria, arquivo digital, com ementa, relatório e voto dos recursos em que for o relator.</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9801D5" w:rsidRDefault="002B40EF" w:rsidP="00672572">
            <w:pPr>
              <w:spacing w:line="320" w:lineRule="exact"/>
              <w:jc w:val="both"/>
              <w:rPr>
                <w:rFonts w:ascii="Times New Roman" w:eastAsia="Arial" w:hAnsi="Times New Roman" w:cs="Times New Roman"/>
                <w:szCs w:val="24"/>
              </w:rPr>
            </w:pPr>
            <w:r w:rsidRPr="009801D5">
              <w:rPr>
                <w:rFonts w:ascii="Times New Roman" w:hAnsi="Times New Roman" w:cs="Times New Roman"/>
              </w:rPr>
              <w:t>Esse é o procedimento que ocorre no CARF atualmente e protege o relator de eventual divulgação antecipada de seu voto.</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49, § 12</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9801D5" w:rsidRDefault="002B40EF" w:rsidP="00672572">
            <w:pPr>
              <w:spacing w:line="320" w:lineRule="exact"/>
              <w:jc w:val="both"/>
              <w:rPr>
                <w:rFonts w:ascii="Times New Roman" w:hAnsi="Times New Roman" w:cs="Times New Roman"/>
              </w:rPr>
            </w:pPr>
            <w:r w:rsidRPr="00294D1C">
              <w:rPr>
                <w:rFonts w:cstheme="minorHAnsi"/>
              </w:rPr>
              <w:t xml:space="preserve">§ 12. </w:t>
            </w:r>
            <w:r w:rsidRPr="00425F2B">
              <w:rPr>
                <w:rFonts w:cstheme="minorHAnsi"/>
              </w:rPr>
              <w:t>No caso de anulação, pelo CARF, da decisão de primeira instância, e o novo acórdão for objeto de recurso voluntário ou de ofício, o processo administrativo fiscal será submetido a novo sorteio, no âmbito da Seção de Julgamento, independentemente de o relator que proferiu a decisão anulatória integrá-la.</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9801D5" w:rsidRDefault="002B40EF" w:rsidP="00672572">
            <w:pPr>
              <w:spacing w:line="320" w:lineRule="exact"/>
              <w:jc w:val="both"/>
              <w:rPr>
                <w:rFonts w:ascii="Times New Roman" w:eastAsia="Arial" w:hAnsi="Times New Roman" w:cs="Times New Roman"/>
                <w:szCs w:val="24"/>
              </w:rPr>
            </w:pPr>
            <w:r>
              <w:rPr>
                <w:rFonts w:cstheme="minorHAnsi"/>
              </w:rPr>
              <w:t>O sorteio livre se justifica apenas nos casos de decisões anteriormente anuladas. N</w:t>
            </w:r>
            <w:r w:rsidRPr="00AB78FC">
              <w:rPr>
                <w:rFonts w:cstheme="minorHAnsi"/>
              </w:rPr>
              <w:t xml:space="preserve">os casos de reforma de </w:t>
            </w:r>
            <w:r>
              <w:rPr>
                <w:rFonts w:cstheme="minorHAnsi"/>
              </w:rPr>
              <w:t>a</w:t>
            </w:r>
            <w:r w:rsidRPr="00AB78FC">
              <w:rPr>
                <w:rFonts w:cstheme="minorHAnsi"/>
              </w:rPr>
              <w:t>córdão de 1ª instância,</w:t>
            </w:r>
            <w:r>
              <w:rPr>
                <w:rFonts w:cstheme="minorHAnsi"/>
              </w:rPr>
              <w:t xml:space="preserve"> a prevenção deve ser observada. P</w:t>
            </w:r>
            <w:r w:rsidRPr="00AB78FC">
              <w:rPr>
                <w:rFonts w:cstheme="minorHAnsi"/>
              </w:rPr>
              <w:t>ode ter havido</w:t>
            </w:r>
            <w:r>
              <w:rPr>
                <w:rFonts w:cstheme="minorHAnsi"/>
              </w:rPr>
              <w:t>, por exemplo,</w:t>
            </w:r>
            <w:r w:rsidRPr="00AB78FC">
              <w:rPr>
                <w:rFonts w:cstheme="minorHAnsi"/>
              </w:rPr>
              <w:t xml:space="preserve"> julgamento sobre determinado assunto que será objeto de ED ou </w:t>
            </w:r>
            <w:proofErr w:type="spellStart"/>
            <w:r w:rsidRPr="00AB78FC">
              <w:rPr>
                <w:rFonts w:cstheme="minorHAnsi"/>
              </w:rPr>
              <w:t>Resp</w:t>
            </w:r>
            <w:proofErr w:type="spellEnd"/>
            <w:r w:rsidRPr="00AB78FC">
              <w:rPr>
                <w:rFonts w:cstheme="minorHAnsi"/>
              </w:rPr>
              <w:t xml:space="preserve"> somente ao final do novo julgamento</w:t>
            </w:r>
            <w:r>
              <w:rPr>
                <w:rFonts w:cstheme="minorHAnsi"/>
              </w:rPr>
              <w:t>, assim como temas subsistentes que decorram da decisão anulatória ou de sua adequada interpretação. As</w:t>
            </w:r>
            <w:r w:rsidRPr="00AB78FC">
              <w:rPr>
                <w:rFonts w:cstheme="minorHAnsi"/>
              </w:rPr>
              <w:t>sim, a prevenção do relator e da turma deve ser observada</w:t>
            </w:r>
            <w:r w:rsidRPr="00174B6F">
              <w:rPr>
                <w:rFonts w:cstheme="minorHAnsi"/>
              </w:rPr>
              <w:t>, inclusive para assegurar maior agilidade e eficácia.</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49, § 13</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F52EDE" w:rsidRDefault="002B40EF" w:rsidP="00672572">
            <w:pPr>
              <w:spacing w:line="320" w:lineRule="exact"/>
              <w:jc w:val="both"/>
              <w:rPr>
                <w:rFonts w:ascii="Times New Roman" w:hAnsi="Times New Roman" w:cs="Times New Roman"/>
              </w:rPr>
            </w:pPr>
            <w:r w:rsidRPr="00F52EDE">
              <w:rPr>
                <w:rFonts w:ascii="Times New Roman" w:hAnsi="Times New Roman" w:cs="Times New Roman"/>
              </w:rPr>
              <w:t>§ 13. O disposto no parágrafo 12 aplica-se aos casos de anulação por Turma da Câmara Superior de Recursos Fiscais, de decisão proferida por Turma Ordinária ou Extraordinária, e o novo acórdão for objeto de Recurso Especial admitido.</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F52EDE" w:rsidRDefault="002B40EF" w:rsidP="00672572">
            <w:pPr>
              <w:spacing w:line="320" w:lineRule="exact"/>
              <w:jc w:val="both"/>
              <w:rPr>
                <w:rFonts w:ascii="Times New Roman" w:eastAsia="Arial" w:hAnsi="Times New Roman" w:cs="Times New Roman"/>
                <w:szCs w:val="24"/>
              </w:rPr>
            </w:pPr>
            <w:r>
              <w:rPr>
                <w:rFonts w:ascii="Times New Roman" w:hAnsi="Times New Roman" w:cs="Times New Roman"/>
              </w:rPr>
              <w:t>Tal como referido em relação ao § 12, o</w:t>
            </w:r>
            <w:r w:rsidRPr="00F52EDE">
              <w:rPr>
                <w:rFonts w:ascii="Times New Roman" w:hAnsi="Times New Roman" w:cs="Times New Roman"/>
              </w:rPr>
              <w:t xml:space="preserve"> sorteio livre se justifica apenas nos casos de decisões anteriormente anuladas. Nos casos de reforma de acórdão de 1ª instância, a prevenção deve ser observada. Pode ter havido, por exemplo, julgamento sobre determinado assunto que será objeto de ED ou </w:t>
            </w:r>
            <w:proofErr w:type="spellStart"/>
            <w:r w:rsidRPr="00F52EDE">
              <w:rPr>
                <w:rFonts w:ascii="Times New Roman" w:hAnsi="Times New Roman" w:cs="Times New Roman"/>
              </w:rPr>
              <w:t>Resp</w:t>
            </w:r>
            <w:proofErr w:type="spellEnd"/>
            <w:r w:rsidRPr="00F52EDE">
              <w:rPr>
                <w:rFonts w:ascii="Times New Roman" w:hAnsi="Times New Roman" w:cs="Times New Roman"/>
              </w:rPr>
              <w:t xml:space="preserve"> somente ao final do novo julgamento, assim como temas subsistentes que decorram da decisão anulatória ou de sua adequada interpretação. Assim, a prevenção do relator e da turma deve ser observada, inclusive para assegurar maior agilidade e eficácia.</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56</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lastRenderedPageBreak/>
              <w:t>Redação Proposta</w:t>
            </w:r>
          </w:p>
        </w:tc>
        <w:tc>
          <w:tcPr>
            <w:tcW w:w="7371" w:type="dxa"/>
          </w:tcPr>
          <w:p w:rsidR="002B40EF" w:rsidRPr="000011CA" w:rsidRDefault="002B40EF" w:rsidP="00672572">
            <w:pPr>
              <w:spacing w:line="320" w:lineRule="exact"/>
              <w:jc w:val="both"/>
              <w:rPr>
                <w:rFonts w:ascii="Times New Roman" w:eastAsia="Arial" w:hAnsi="Times New Roman" w:cs="Times New Roman"/>
                <w:szCs w:val="24"/>
              </w:rPr>
            </w:pPr>
            <w:r w:rsidRPr="000011CA">
              <w:rPr>
                <w:rFonts w:ascii="Times New Roman" w:hAnsi="Times New Roman" w:cs="Times New Roman"/>
              </w:rPr>
              <w:t>Inclu</w:t>
            </w:r>
            <w:r>
              <w:rPr>
                <w:rFonts w:ascii="Times New Roman" w:hAnsi="Times New Roman" w:cs="Times New Roman"/>
              </w:rPr>
              <w:t>ir</w:t>
            </w:r>
            <w:r w:rsidRPr="000011CA">
              <w:rPr>
                <w:rFonts w:ascii="Times New Roman" w:hAnsi="Times New Roman" w:cs="Times New Roman"/>
                <w:spacing w:val="-1"/>
              </w:rPr>
              <w:t xml:space="preserve"> </w:t>
            </w:r>
            <w:r w:rsidRPr="000011CA">
              <w:rPr>
                <w:rFonts w:ascii="Times New Roman" w:hAnsi="Times New Roman" w:cs="Times New Roman"/>
              </w:rPr>
              <w:t>parágrafo</w:t>
            </w:r>
            <w:r>
              <w:rPr>
                <w:rFonts w:ascii="Times New Roman" w:hAnsi="Times New Roman" w:cs="Times New Roman"/>
              </w:rPr>
              <w:t xml:space="preserve"> do seguinte teor</w:t>
            </w:r>
            <w:r w:rsidRPr="000011CA">
              <w:rPr>
                <w:rFonts w:ascii="Times New Roman" w:hAnsi="Times New Roman" w:cs="Times New Roman"/>
              </w:rPr>
              <w:t>: O</w:t>
            </w:r>
            <w:r w:rsidRPr="000011CA">
              <w:rPr>
                <w:rFonts w:ascii="Times New Roman" w:hAnsi="Times New Roman" w:cs="Times New Roman"/>
                <w:spacing w:val="-1"/>
              </w:rPr>
              <w:t xml:space="preserve"> </w:t>
            </w:r>
            <w:r w:rsidRPr="000011CA">
              <w:rPr>
                <w:rFonts w:ascii="Times New Roman" w:hAnsi="Times New Roman" w:cs="Times New Roman"/>
              </w:rPr>
              <w:t xml:space="preserve">adiamento do julgamento para outra sessão da mesma reunião, que importe transferência de dia de julgamento ou </w:t>
            </w:r>
            <w:r>
              <w:rPr>
                <w:rFonts w:ascii="Times New Roman" w:hAnsi="Times New Roman" w:cs="Times New Roman"/>
              </w:rPr>
              <w:t xml:space="preserve">início do </w:t>
            </w:r>
            <w:r w:rsidRPr="000011CA">
              <w:rPr>
                <w:rFonts w:ascii="Times New Roman" w:hAnsi="Times New Roman" w:cs="Times New Roman"/>
              </w:rPr>
              <w:t xml:space="preserve">julgamento após às </w:t>
            </w:r>
            <w:r>
              <w:rPr>
                <w:rFonts w:ascii="Times New Roman" w:hAnsi="Times New Roman" w:cs="Times New Roman"/>
              </w:rPr>
              <w:t>18</w:t>
            </w:r>
            <w:r w:rsidRPr="000011CA">
              <w:rPr>
                <w:rFonts w:ascii="Times New Roman" w:hAnsi="Times New Roman" w:cs="Times New Roman"/>
              </w:rPr>
              <w:t xml:space="preserve"> horas do dia previsto, somente poderá ocorrer mediante autorização da(s) parte(s), se</w:t>
            </w:r>
            <w:r>
              <w:rPr>
                <w:rFonts w:ascii="Times New Roman" w:hAnsi="Times New Roman" w:cs="Times New Roman"/>
              </w:rPr>
              <w:t xml:space="preserve"> seus representantes</w:t>
            </w:r>
            <w:r w:rsidRPr="000011CA">
              <w:rPr>
                <w:rFonts w:ascii="Times New Roman" w:hAnsi="Times New Roman" w:cs="Times New Roman"/>
              </w:rPr>
              <w:t xml:space="preserve"> estiverem presentes e tiverem pedido preferência ou manifestado interesse em fazer sustentação oral.</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0011CA" w:rsidRDefault="002B40EF" w:rsidP="00672572">
            <w:pPr>
              <w:spacing w:line="320" w:lineRule="exact"/>
              <w:jc w:val="both"/>
              <w:rPr>
                <w:rFonts w:ascii="Times New Roman" w:eastAsia="Arial" w:hAnsi="Times New Roman" w:cs="Times New Roman"/>
                <w:szCs w:val="24"/>
              </w:rPr>
            </w:pPr>
            <w:r w:rsidRPr="000011CA">
              <w:rPr>
                <w:rFonts w:ascii="Times New Roman" w:hAnsi="Times New Roman" w:cs="Times New Roman"/>
              </w:rPr>
              <w:t xml:space="preserve">Há que ser considerado que o advogado ou Procurador se programa para fazer a sustentação oral ou acompanhar o julgamento no dia previsto para o mesmo. Muitos advogados ou procuradores vão para Brasília e retornam no mesmo dia, de tal modo que o adiamento para julgamento após às </w:t>
            </w:r>
            <w:r>
              <w:rPr>
                <w:rFonts w:ascii="Times New Roman" w:hAnsi="Times New Roman" w:cs="Times New Roman"/>
              </w:rPr>
              <w:t>18</w:t>
            </w:r>
            <w:r w:rsidRPr="000011CA">
              <w:rPr>
                <w:rFonts w:ascii="Times New Roman" w:hAnsi="Times New Roman" w:cs="Times New Roman"/>
              </w:rPr>
              <w:t xml:space="preserve"> horas pode inviabilizar o retorno, </w:t>
            </w:r>
            <w:r>
              <w:rPr>
                <w:rFonts w:ascii="Times New Roman" w:hAnsi="Times New Roman" w:cs="Times New Roman"/>
              </w:rPr>
              <w:t>impossibilitando que se chegue ao aeroporto a tempo de não perder o último voo p</w:t>
            </w:r>
            <w:r w:rsidRPr="000011CA">
              <w:rPr>
                <w:rFonts w:ascii="Times New Roman" w:hAnsi="Times New Roman" w:cs="Times New Roman"/>
              </w:rPr>
              <w:t>ara várias localidades do país. Ademais, em muitos casos, o adiamento se dá para sessão do dia seguinte e a parte ou seu patrono que muitas vezes se desloca</w:t>
            </w:r>
            <w:r>
              <w:rPr>
                <w:rFonts w:ascii="Times New Roman" w:hAnsi="Times New Roman" w:cs="Times New Roman"/>
              </w:rPr>
              <w:t>m</w:t>
            </w:r>
            <w:r w:rsidRPr="000011CA">
              <w:rPr>
                <w:rFonts w:ascii="Times New Roman" w:hAnsi="Times New Roman" w:cs="Times New Roman"/>
              </w:rPr>
              <w:t xml:space="preserve"> de outros Estados perde</w:t>
            </w:r>
            <w:r>
              <w:rPr>
                <w:rFonts w:ascii="Times New Roman" w:hAnsi="Times New Roman" w:cs="Times New Roman"/>
              </w:rPr>
              <w:t>m</w:t>
            </w:r>
            <w:r w:rsidRPr="000011CA">
              <w:rPr>
                <w:rFonts w:ascii="Times New Roman" w:hAnsi="Times New Roman" w:cs="Times New Roman"/>
              </w:rPr>
              <w:t xml:space="preserve"> o voo e/ou precisa</w:t>
            </w:r>
            <w:r>
              <w:rPr>
                <w:rFonts w:ascii="Times New Roman" w:hAnsi="Times New Roman" w:cs="Times New Roman"/>
              </w:rPr>
              <w:t>m</w:t>
            </w:r>
            <w:r w:rsidRPr="000011CA">
              <w:rPr>
                <w:rFonts w:ascii="Times New Roman" w:hAnsi="Times New Roman" w:cs="Times New Roman"/>
              </w:rPr>
              <w:t xml:space="preserve"> pernoitar, com evidente prejuízo financeiro e de demais co</w:t>
            </w:r>
            <w:r>
              <w:rPr>
                <w:rFonts w:ascii="Times New Roman" w:hAnsi="Times New Roman" w:cs="Times New Roman"/>
              </w:rPr>
              <w:t>mpromissos profissionais que teriam</w:t>
            </w:r>
            <w:r w:rsidRPr="000011CA">
              <w:rPr>
                <w:rFonts w:ascii="Times New Roman" w:hAnsi="Times New Roman" w:cs="Times New Roman"/>
              </w:rPr>
              <w:t xml:space="preserve"> no dia seguinte.</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57, § 1º</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F24C55" w:rsidRDefault="002B40EF" w:rsidP="00672572">
            <w:pPr>
              <w:spacing w:line="320" w:lineRule="exact"/>
              <w:jc w:val="both"/>
              <w:rPr>
                <w:rFonts w:ascii="Times New Roman" w:eastAsia="Arial" w:hAnsi="Times New Roman" w:cs="Times New Roman"/>
              </w:rPr>
            </w:pPr>
            <w:r w:rsidRPr="00F24C55">
              <w:rPr>
                <w:rFonts w:ascii="Times New Roman" w:eastAsia="Arial" w:hAnsi="Times New Roman" w:cs="Times New Roman"/>
              </w:rPr>
              <w:t>§ 1º A ementa, relatório e voto deverão ser disponibilizados exclusivamente aos conselheiros do colegiado, previamente ao início d</w:t>
            </w:r>
            <w:r>
              <w:rPr>
                <w:rFonts w:ascii="Times New Roman" w:eastAsia="Arial" w:hAnsi="Times New Roman" w:cs="Times New Roman"/>
              </w:rPr>
              <w:t>o</w:t>
            </w:r>
            <w:r w:rsidRPr="00F24C55">
              <w:rPr>
                <w:rFonts w:ascii="Times New Roman" w:eastAsia="Arial" w:hAnsi="Times New Roman" w:cs="Times New Roman"/>
              </w:rPr>
              <w:t xml:space="preserve"> julgamento</w:t>
            </w:r>
            <w:r>
              <w:rPr>
                <w:rFonts w:ascii="Times New Roman" w:eastAsia="Arial" w:hAnsi="Times New Roman" w:cs="Times New Roman"/>
              </w:rPr>
              <w:t xml:space="preserve"> de cada processo </w:t>
            </w:r>
            <w:r w:rsidRPr="00F24C55">
              <w:rPr>
                <w:rFonts w:ascii="Times New Roman" w:eastAsia="Arial" w:hAnsi="Times New Roman" w:cs="Times New Roman"/>
              </w:rPr>
              <w:t>correspondente, conforme o art. 41, V.</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F24C55" w:rsidRDefault="002B40EF" w:rsidP="00672572">
            <w:pPr>
              <w:spacing w:line="320" w:lineRule="exact"/>
              <w:jc w:val="both"/>
              <w:rPr>
                <w:rFonts w:ascii="Times New Roman" w:eastAsia="Arial" w:hAnsi="Times New Roman" w:cs="Times New Roman"/>
                <w:szCs w:val="24"/>
              </w:rPr>
            </w:pPr>
            <w:r w:rsidRPr="00F24C55">
              <w:rPr>
                <w:rFonts w:ascii="Times New Roman" w:hAnsi="Times New Roman" w:cs="Times New Roman"/>
              </w:rPr>
              <w:t>Adequação para a sugestão ao previsto no artigo 41, V.</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58, § 8º</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894FC2" w:rsidRDefault="002B40EF" w:rsidP="00672572">
            <w:pPr>
              <w:spacing w:line="320" w:lineRule="exact"/>
              <w:jc w:val="both"/>
              <w:rPr>
                <w:rFonts w:ascii="Times New Roman" w:eastAsia="Arial" w:hAnsi="Times New Roman" w:cs="Times New Roman"/>
              </w:rPr>
            </w:pPr>
            <w:r w:rsidRPr="00894FC2">
              <w:rPr>
                <w:rFonts w:ascii="Times New Roman" w:eastAsia="Arial" w:hAnsi="Times New Roman" w:cs="Times New Roman"/>
              </w:rPr>
              <w:t>§</w:t>
            </w:r>
            <w:r w:rsidRPr="00894FC2">
              <w:rPr>
                <w:rFonts w:ascii="Times New Roman" w:eastAsia="Arial" w:hAnsi="Times New Roman" w:cs="Times New Roman"/>
                <w:spacing w:val="-1"/>
              </w:rPr>
              <w:t xml:space="preserve"> </w:t>
            </w:r>
            <w:r w:rsidRPr="00894FC2">
              <w:rPr>
                <w:rFonts w:ascii="Times New Roman" w:eastAsia="Arial" w:hAnsi="Times New Roman" w:cs="Times New Roman"/>
              </w:rPr>
              <w:t>8º</w:t>
            </w:r>
            <w:r w:rsidRPr="00894FC2">
              <w:rPr>
                <w:rFonts w:ascii="Times New Roman" w:eastAsia="Arial" w:hAnsi="Times New Roman" w:cs="Times New Roman"/>
                <w:spacing w:val="-1"/>
              </w:rPr>
              <w:t xml:space="preserve"> </w:t>
            </w:r>
            <w:r w:rsidRPr="00894FC2">
              <w:rPr>
                <w:rFonts w:ascii="Times New Roman" w:eastAsia="Arial" w:hAnsi="Times New Roman" w:cs="Times New Roman"/>
              </w:rPr>
              <w:t>Quando</w:t>
            </w:r>
            <w:r w:rsidRPr="00894FC2">
              <w:rPr>
                <w:rFonts w:ascii="Times New Roman" w:eastAsia="Arial" w:hAnsi="Times New Roman" w:cs="Times New Roman"/>
                <w:spacing w:val="-1"/>
              </w:rPr>
              <w:t xml:space="preserve"> </w:t>
            </w:r>
            <w:r w:rsidRPr="00894FC2">
              <w:rPr>
                <w:rFonts w:ascii="Times New Roman" w:eastAsia="Arial" w:hAnsi="Times New Roman" w:cs="Times New Roman"/>
              </w:rPr>
              <w:t>concedida</w:t>
            </w:r>
            <w:r w:rsidRPr="00894FC2">
              <w:rPr>
                <w:rFonts w:ascii="Times New Roman" w:eastAsia="Arial" w:hAnsi="Times New Roman" w:cs="Times New Roman"/>
                <w:spacing w:val="-1"/>
              </w:rPr>
              <w:t xml:space="preserve"> </w:t>
            </w:r>
            <w:r w:rsidRPr="00894FC2">
              <w:rPr>
                <w:rFonts w:ascii="Times New Roman" w:eastAsia="Arial" w:hAnsi="Times New Roman" w:cs="Times New Roman"/>
              </w:rPr>
              <w:t>vista,</w:t>
            </w:r>
            <w:r w:rsidRPr="00894FC2">
              <w:rPr>
                <w:rFonts w:ascii="Times New Roman" w:eastAsia="Arial" w:hAnsi="Times New Roman" w:cs="Times New Roman"/>
                <w:spacing w:val="-1"/>
              </w:rPr>
              <w:t xml:space="preserve"> </w:t>
            </w:r>
            <w:r w:rsidRPr="00894FC2">
              <w:rPr>
                <w:rFonts w:ascii="Times New Roman" w:eastAsia="Arial" w:hAnsi="Times New Roman" w:cs="Times New Roman"/>
              </w:rPr>
              <w:t>o</w:t>
            </w:r>
            <w:r w:rsidRPr="00894FC2">
              <w:rPr>
                <w:rFonts w:ascii="Times New Roman" w:eastAsia="Arial" w:hAnsi="Times New Roman" w:cs="Times New Roman"/>
                <w:spacing w:val="-1"/>
              </w:rPr>
              <w:t xml:space="preserve"> </w:t>
            </w:r>
            <w:r w:rsidRPr="00894FC2">
              <w:rPr>
                <w:rFonts w:ascii="Times New Roman" w:eastAsia="Arial" w:hAnsi="Times New Roman" w:cs="Times New Roman"/>
              </w:rPr>
              <w:t xml:space="preserve">processo deverá ser incluído na pauta de sessão da mesma reunião, ou da reunião seguinte, </w:t>
            </w:r>
            <w:r>
              <w:rPr>
                <w:rFonts w:ascii="Times New Roman" w:eastAsia="Arial" w:hAnsi="Times New Roman" w:cs="Times New Roman"/>
              </w:rPr>
              <w:t>com a indispensável presença do relator e preferencialmente com a presença também</w:t>
            </w:r>
            <w:r w:rsidRPr="00894FC2">
              <w:rPr>
                <w:rFonts w:ascii="Times New Roman" w:eastAsia="Arial" w:hAnsi="Times New Roman" w:cs="Times New Roman"/>
                <w:spacing w:val="-1"/>
              </w:rPr>
              <w:t xml:space="preserve"> </w:t>
            </w:r>
            <w:r w:rsidRPr="00894FC2">
              <w:rPr>
                <w:rFonts w:ascii="Times New Roman" w:eastAsia="Arial" w:hAnsi="Times New Roman" w:cs="Times New Roman"/>
              </w:rPr>
              <w:t>daquele que pediu vista,</w:t>
            </w:r>
            <w:r w:rsidRPr="00894FC2">
              <w:rPr>
                <w:rFonts w:ascii="Times New Roman" w:eastAsia="Arial" w:hAnsi="Times New Roman" w:cs="Times New Roman"/>
                <w:w w:val="99"/>
              </w:rPr>
              <w:t xml:space="preserve"> </w:t>
            </w:r>
            <w:r w:rsidRPr="00894FC2">
              <w:rPr>
                <w:rFonts w:ascii="Times New Roman" w:eastAsia="Arial" w:hAnsi="Times New Roman" w:cs="Times New Roman"/>
              </w:rPr>
              <w:t>devendo, no caso de inclusão na pauta da reunião seguinte, haver nova publicação</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894FC2" w:rsidRDefault="002B40EF" w:rsidP="00672572">
            <w:pPr>
              <w:spacing w:line="320" w:lineRule="exact"/>
              <w:jc w:val="both"/>
              <w:rPr>
                <w:rFonts w:ascii="Times New Roman" w:eastAsia="Arial" w:hAnsi="Times New Roman" w:cs="Times New Roman"/>
                <w:szCs w:val="24"/>
              </w:rPr>
            </w:pPr>
            <w:r w:rsidRPr="00894FC2">
              <w:rPr>
                <w:rFonts w:ascii="Times New Roman" w:hAnsi="Times New Roman" w:cs="Times New Roman"/>
              </w:rPr>
              <w:t>A realização do julgamento sem a presença do relator implicaria afronta ao princípio</w:t>
            </w:r>
            <w:r>
              <w:rPr>
                <w:rFonts w:ascii="Times New Roman" w:hAnsi="Times New Roman" w:cs="Times New Roman"/>
              </w:rPr>
              <w:t xml:space="preserve"> do devido processo legal, pois, dentre </w:t>
            </w:r>
            <w:r w:rsidRPr="00894FC2">
              <w:rPr>
                <w:rFonts w:ascii="Times New Roman" w:hAnsi="Times New Roman" w:cs="Times New Roman"/>
              </w:rPr>
              <w:t>o</w:t>
            </w:r>
            <w:r>
              <w:rPr>
                <w:rFonts w:ascii="Times New Roman" w:hAnsi="Times New Roman" w:cs="Times New Roman"/>
              </w:rPr>
              <w:t>s</w:t>
            </w:r>
            <w:r w:rsidRPr="00894FC2">
              <w:rPr>
                <w:rFonts w:ascii="Times New Roman" w:hAnsi="Times New Roman" w:cs="Times New Roman"/>
              </w:rPr>
              <w:t xml:space="preserve"> julgador</w:t>
            </w:r>
            <w:r>
              <w:rPr>
                <w:rFonts w:ascii="Times New Roman" w:hAnsi="Times New Roman" w:cs="Times New Roman"/>
              </w:rPr>
              <w:t>es, é quem</w:t>
            </w:r>
            <w:r w:rsidRPr="00894FC2">
              <w:rPr>
                <w:rFonts w:ascii="Times New Roman" w:hAnsi="Times New Roman" w:cs="Times New Roman"/>
              </w:rPr>
              <w:t xml:space="preserve"> conhece o processo em detalhes e pode esclarecer dúvidas dos demais conselheiros.</w:t>
            </w:r>
            <w:r>
              <w:rPr>
                <w:rFonts w:ascii="Times New Roman" w:hAnsi="Times New Roman" w:cs="Times New Roman"/>
              </w:rPr>
              <w:t xml:space="preserve"> A presença de quem pediu vista, não obstante possa ser dispensada, é aconselhável a fim de viabilizar sua participação na continuidade do julgamento. A exclusão do relator e mesmo de quem pediu vista, ademais, implicaria</w:t>
            </w:r>
            <w:r w:rsidRPr="00894FC2">
              <w:rPr>
                <w:rFonts w:ascii="Times New Roman" w:hAnsi="Times New Roman" w:cs="Times New Roman"/>
              </w:rPr>
              <w:t xml:space="preserve"> significativa perda de qualidade sem ganho real em celeridade.</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58, § 11</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894FC2" w:rsidRDefault="002B40EF" w:rsidP="00672572">
            <w:pPr>
              <w:spacing w:line="320" w:lineRule="exact"/>
              <w:jc w:val="both"/>
              <w:rPr>
                <w:rFonts w:ascii="Times New Roman" w:eastAsia="Arial" w:hAnsi="Times New Roman" w:cs="Times New Roman"/>
              </w:rPr>
            </w:pPr>
            <w:r w:rsidRPr="00894FC2">
              <w:rPr>
                <w:rFonts w:ascii="Times New Roman" w:eastAsia="Arial" w:hAnsi="Times New Roman" w:cs="Times New Roman"/>
              </w:rPr>
              <w:t xml:space="preserve">§ </w:t>
            </w:r>
            <w:r>
              <w:rPr>
                <w:rFonts w:ascii="Times New Roman" w:eastAsia="Arial" w:hAnsi="Times New Roman" w:cs="Times New Roman"/>
              </w:rPr>
              <w:t>11.</w:t>
            </w:r>
            <w:r w:rsidRPr="00894FC2">
              <w:rPr>
                <w:rFonts w:ascii="Times New Roman" w:eastAsia="Arial" w:hAnsi="Times New Roman" w:cs="Times New Roman"/>
              </w:rPr>
              <w:t xml:space="preserve"> </w:t>
            </w:r>
            <w:r>
              <w:rPr>
                <w:rFonts w:ascii="Times New Roman" w:eastAsia="Arial" w:hAnsi="Times New Roman" w:cs="Times New Roman"/>
              </w:rPr>
              <w:t>Havendo pluralidade de sujeitos passivos, o tempo máximo de sustentação oral será de 30 (trinta) minutos, a ser dividido entre eles, garantindo-se o mesmo tempo à parte adversa, sem prejuízo do tempo mínimo de 5 (cinco) minutos para cada sustentação oral.</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894FC2" w:rsidRDefault="002B40EF" w:rsidP="00672572">
            <w:pPr>
              <w:spacing w:line="320" w:lineRule="exact"/>
              <w:jc w:val="both"/>
              <w:rPr>
                <w:rFonts w:ascii="Times New Roman" w:eastAsia="Arial" w:hAnsi="Times New Roman" w:cs="Times New Roman"/>
                <w:szCs w:val="24"/>
              </w:rPr>
            </w:pPr>
            <w:r>
              <w:rPr>
                <w:rFonts w:ascii="Times New Roman" w:eastAsia="Arial" w:hAnsi="Times New Roman" w:cs="Times New Roman"/>
                <w:szCs w:val="24"/>
              </w:rPr>
              <w:t>A inclusão da ressalva atinente ao tempo mínimo de 5 (cinco) minutos faz-se necessária, pois, na sua ausência, casos com mais de 6 (seis) sustentações orais implicariam prazos individuais inferiores àquele período de tempo, o que não seria razoável. Importa destacar não ser incomum a realização de mais de 6 (seis) sustentações orais quando do julgamento de um único processo, em especial em casos envolvendo diversos autuados sob a acusação de solidariedade com o contribuinte tido por devedor principal.</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58, § 12</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894FC2" w:rsidRDefault="002B40EF" w:rsidP="00672572">
            <w:pPr>
              <w:spacing w:line="320" w:lineRule="exact"/>
              <w:jc w:val="both"/>
              <w:rPr>
                <w:rFonts w:ascii="Times New Roman" w:eastAsia="Arial" w:hAnsi="Times New Roman" w:cs="Times New Roman"/>
              </w:rPr>
            </w:pPr>
            <w:r w:rsidRPr="00894FC2">
              <w:rPr>
                <w:rFonts w:ascii="Times New Roman" w:eastAsia="Arial" w:hAnsi="Times New Roman" w:cs="Times New Roman"/>
              </w:rPr>
              <w:t xml:space="preserve">§ </w:t>
            </w:r>
            <w:r>
              <w:rPr>
                <w:rFonts w:ascii="Times New Roman" w:eastAsia="Arial" w:hAnsi="Times New Roman" w:cs="Times New Roman"/>
              </w:rPr>
              <w:t>12. Na hipótese de julgamento na forma dos §§ 1º e 2º do art. 47, as partes do processo sorteado como paradigma, bem como as partes dos demais processos, que não o paradigma, terão direito a realizar sustentação oral quando do julgamento do recurso do processo paradigma, no prazo máximo de 30 (trinta) minutos, a ser dividido entre elas, sem prejuízo do tempo mínimo de 5 (cinco) minutos para cada sustentação oral.</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894FC2" w:rsidRDefault="002B40EF" w:rsidP="00672572">
            <w:pPr>
              <w:spacing w:line="320" w:lineRule="exact"/>
              <w:jc w:val="both"/>
              <w:rPr>
                <w:rFonts w:ascii="Times New Roman" w:eastAsia="Arial" w:hAnsi="Times New Roman" w:cs="Times New Roman"/>
                <w:szCs w:val="24"/>
              </w:rPr>
            </w:pPr>
            <w:r>
              <w:rPr>
                <w:rFonts w:ascii="Times New Roman" w:eastAsia="Arial" w:hAnsi="Times New Roman" w:cs="Times New Roman"/>
                <w:szCs w:val="24"/>
              </w:rPr>
              <w:t>A inclusão da ressalva atinente ao tempo mínimo de 5 (cinco) minutos faz-se necessária, pois, na sua ausência, casos com mais de 6 (seis) sustentações orais implicariam prazos individuais inferiores àquele período de tempo, o que não seria razoável. Importa destacar não ser incomum a realização de mais de 6 (seis) sustentações orais quando do julgamento de um único processo, em especial em casos envolvendo diversos autuados sob a acusação de solidariedade com o contribuinte tido por devedor principal, o que, por maior, certamente se verificará nos julgamentos de que ora se cuida.</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58, § 13</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894FC2" w:rsidRDefault="002B40EF" w:rsidP="00672572">
            <w:pPr>
              <w:spacing w:line="320" w:lineRule="exact"/>
              <w:jc w:val="both"/>
              <w:rPr>
                <w:rFonts w:ascii="Times New Roman" w:eastAsia="Arial" w:hAnsi="Times New Roman" w:cs="Times New Roman"/>
              </w:rPr>
            </w:pPr>
            <w:r>
              <w:rPr>
                <w:rFonts w:ascii="Times New Roman" w:eastAsia="Arial" w:hAnsi="Times New Roman" w:cs="Times New Roman"/>
              </w:rPr>
              <w:t>§ 13. O processo será retirado de pauta de julgamento na ausência do relator.</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lastRenderedPageBreak/>
              <w:t>Justificativa</w:t>
            </w:r>
          </w:p>
        </w:tc>
        <w:tc>
          <w:tcPr>
            <w:tcW w:w="7371" w:type="dxa"/>
          </w:tcPr>
          <w:p w:rsidR="002B40EF" w:rsidRPr="00A95E0F" w:rsidRDefault="002B40EF" w:rsidP="00672572">
            <w:pPr>
              <w:spacing w:line="320" w:lineRule="exact"/>
              <w:jc w:val="both"/>
              <w:rPr>
                <w:rFonts w:ascii="Times New Roman" w:eastAsia="Arial" w:hAnsi="Times New Roman" w:cs="Times New Roman"/>
                <w:szCs w:val="24"/>
              </w:rPr>
            </w:pPr>
            <w:r w:rsidRPr="00A95E0F">
              <w:rPr>
                <w:rFonts w:ascii="Times New Roman" w:hAnsi="Times New Roman" w:cs="Times New Roman"/>
              </w:rPr>
              <w:t>A redação em vigor, do dispositivo em questão, prevê que o julgamento só deve prosseguir sem a presença do relator que já proclamou o seu voto, quando este saiu definitivamente do CARF ou quando está ausente em período superior a 2 (dois) meses, o que é extremamente razoável. Poderá haver prejuízo às partes com a ausência do relator, que, indiscutivelmente, é o membro do colegiado que estudou de forma mais detalhada o processo. A realização do julgamento sem a presença do relator implicaria afronta ao princípio do devido processo legal, po</w:t>
            </w:r>
            <w:r>
              <w:rPr>
                <w:rFonts w:ascii="Times New Roman" w:hAnsi="Times New Roman" w:cs="Times New Roman"/>
              </w:rPr>
              <w:t>r ser ele</w:t>
            </w:r>
            <w:r w:rsidRPr="00A95E0F">
              <w:rPr>
                <w:rFonts w:ascii="Times New Roman" w:hAnsi="Times New Roman" w:cs="Times New Roman"/>
              </w:rPr>
              <w:t xml:space="preserve"> o julgador que conhece o processo em detalhes e pode esclarecer dúvidas dos demais conselheiros. Haver</w:t>
            </w:r>
            <w:r>
              <w:rPr>
                <w:rFonts w:ascii="Times New Roman" w:hAnsi="Times New Roman" w:cs="Times New Roman"/>
              </w:rPr>
              <w:t>ia</w:t>
            </w:r>
            <w:r w:rsidRPr="00A95E0F">
              <w:rPr>
                <w:rFonts w:ascii="Times New Roman" w:hAnsi="Times New Roman" w:cs="Times New Roman"/>
              </w:rPr>
              <w:t xml:space="preserve"> significativa perda de qualidade sem ganho real em celeridade e afronta ao princípio do devido processo leg</w:t>
            </w:r>
            <w:r>
              <w:rPr>
                <w:rFonts w:ascii="Times New Roman" w:hAnsi="Times New Roman" w:cs="Times New Roman"/>
              </w:rPr>
              <w:t>al.</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62, § 2º</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894FC2" w:rsidRDefault="002B40EF" w:rsidP="00672572">
            <w:pPr>
              <w:spacing w:line="320" w:lineRule="exact"/>
              <w:jc w:val="both"/>
              <w:rPr>
                <w:rFonts w:ascii="Times New Roman" w:eastAsia="Arial" w:hAnsi="Times New Roman" w:cs="Times New Roman"/>
              </w:rPr>
            </w:pPr>
            <w:r>
              <w:rPr>
                <w:rFonts w:ascii="Times New Roman" w:eastAsia="Arial" w:hAnsi="Times New Roman" w:cs="Times New Roman"/>
              </w:rPr>
              <w:t>Manter a redação do dispositivo atualmente em vigor.</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F93EFB" w:rsidRDefault="002B40EF" w:rsidP="00672572">
            <w:pPr>
              <w:spacing w:line="320" w:lineRule="exact"/>
              <w:jc w:val="both"/>
              <w:rPr>
                <w:rFonts w:ascii="Times New Roman" w:eastAsia="Arial" w:hAnsi="Times New Roman" w:cs="Times New Roman"/>
                <w:szCs w:val="24"/>
              </w:rPr>
            </w:pPr>
            <w:r>
              <w:rPr>
                <w:rFonts w:ascii="Times New Roman" w:hAnsi="Times New Roman" w:cs="Times New Roman"/>
              </w:rPr>
              <w:t>A</w:t>
            </w:r>
            <w:r w:rsidRPr="00F93EFB">
              <w:rPr>
                <w:rFonts w:ascii="Times New Roman" w:hAnsi="Times New Roman" w:cs="Times New Roman"/>
              </w:rPr>
              <w:t xml:space="preserve"> exigência de trânsito em julgado não encontra respaldo na legislação processual ou na prática adotada pelos tribunais judiciais. Havendo decisão definitiva, ainda que não transitada em julgado, justifica-se sua pronta adoção pelo CARF</w:t>
            </w:r>
            <w:r>
              <w:rPr>
                <w:rFonts w:ascii="Times New Roman" w:hAnsi="Times New Roman" w:cs="Times New Roman"/>
              </w:rPr>
              <w:t>.</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62, § 4º</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3357CE" w:rsidRDefault="002B40EF" w:rsidP="00672572">
            <w:pPr>
              <w:spacing w:line="320" w:lineRule="exact"/>
              <w:jc w:val="both"/>
              <w:rPr>
                <w:rFonts w:ascii="Times New Roman" w:eastAsia="Arial" w:hAnsi="Times New Roman" w:cs="Times New Roman"/>
              </w:rPr>
            </w:pPr>
            <w:r>
              <w:rPr>
                <w:rFonts w:ascii="Times New Roman" w:hAnsi="Times New Roman" w:cs="Times New Roman"/>
              </w:rPr>
              <w:t>E</w:t>
            </w:r>
            <w:r w:rsidRPr="003357CE">
              <w:rPr>
                <w:rFonts w:ascii="Times New Roman" w:hAnsi="Times New Roman" w:cs="Times New Roman"/>
              </w:rPr>
              <w:t>xcluir a locução “ressalvados os casos em que houver acórdão de mérito proferido pelo Supremo Tribunal Federal ainda não transitado em julgado, ou, no caso de matéria exclusivamente infraconstitucional, se houver acórdão de mérito proferido pelo Superior Tribunal de Justiça na mesma condição”.</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3357CE" w:rsidRDefault="002B40EF" w:rsidP="00672572">
            <w:pPr>
              <w:spacing w:line="320" w:lineRule="exact"/>
              <w:jc w:val="both"/>
              <w:rPr>
                <w:rFonts w:ascii="Times New Roman" w:eastAsia="Arial" w:hAnsi="Times New Roman" w:cs="Times New Roman"/>
                <w:szCs w:val="24"/>
              </w:rPr>
            </w:pPr>
            <w:r>
              <w:rPr>
                <w:rFonts w:ascii="Times New Roman" w:hAnsi="Times New Roman" w:cs="Times New Roman"/>
              </w:rPr>
              <w:t>H</w:t>
            </w:r>
            <w:r w:rsidRPr="003357CE">
              <w:rPr>
                <w:rFonts w:ascii="Times New Roman" w:hAnsi="Times New Roman" w:cs="Times New Roman"/>
              </w:rPr>
              <w:t>avendo decisão definitiva de mérito, deve ser ela observada independentemente do trânsito em julgado do respectivo acórdão, conforme exposto</w:t>
            </w:r>
            <w:r>
              <w:rPr>
                <w:rFonts w:ascii="Times New Roman" w:hAnsi="Times New Roman" w:cs="Times New Roman"/>
              </w:rPr>
              <w:t xml:space="preserve"> na justificativa atinente ao § 2º</w:t>
            </w:r>
            <w:r w:rsidRPr="003357CE">
              <w:rPr>
                <w:rFonts w:ascii="Times New Roman" w:hAnsi="Times New Roman" w:cs="Times New Roman"/>
              </w:rPr>
              <w:t>.</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62, caput</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894FC2" w:rsidRDefault="002B40EF" w:rsidP="00672572">
            <w:pPr>
              <w:spacing w:line="320" w:lineRule="exact"/>
              <w:jc w:val="both"/>
              <w:rPr>
                <w:rFonts w:ascii="Times New Roman" w:eastAsia="Arial" w:hAnsi="Times New Roman" w:cs="Times New Roman"/>
              </w:rPr>
            </w:pPr>
            <w:r>
              <w:rPr>
                <w:rFonts w:ascii="Times New Roman" w:eastAsia="Arial" w:hAnsi="Times New Roman" w:cs="Times New Roman"/>
              </w:rPr>
              <w:t>Manter a redação do dispositivo atualmente em vigor.</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C7733E" w:rsidRDefault="002B40EF" w:rsidP="00672572">
            <w:pPr>
              <w:spacing w:line="320" w:lineRule="exact"/>
              <w:jc w:val="both"/>
              <w:rPr>
                <w:rFonts w:ascii="Times New Roman" w:eastAsia="Arial" w:hAnsi="Times New Roman" w:cs="Times New Roman"/>
                <w:szCs w:val="24"/>
              </w:rPr>
            </w:pPr>
            <w:r>
              <w:rPr>
                <w:rFonts w:ascii="Times New Roman" w:hAnsi="Times New Roman" w:cs="Times New Roman"/>
              </w:rPr>
              <w:t>À</w:t>
            </w:r>
            <w:r w:rsidRPr="00C7733E">
              <w:rPr>
                <w:rFonts w:ascii="Times New Roman" w:hAnsi="Times New Roman" w:cs="Times New Roman"/>
              </w:rPr>
              <w:t xml:space="preserve"> exceção da declaração de inconstitucionalidade, compete ao CARF decidir se estão ou não atendidos os requisitos, em cada caso concreto, para que sejam aplicados ou observados tratados, acordos internacionais, leis ou decretos</w:t>
            </w:r>
            <w:r>
              <w:rPr>
                <w:rFonts w:ascii="Times New Roman" w:hAnsi="Times New Roman" w:cs="Times New Roman"/>
              </w:rPr>
              <w:t>.</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64, § 2º</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FC361A" w:rsidRDefault="002B40EF" w:rsidP="00672572">
            <w:pPr>
              <w:spacing w:line="320" w:lineRule="exact"/>
              <w:jc w:val="both"/>
              <w:rPr>
                <w:rFonts w:ascii="Times New Roman" w:eastAsia="Arial" w:hAnsi="Times New Roman" w:cs="Times New Roman"/>
              </w:rPr>
            </w:pPr>
            <w:r w:rsidRPr="00FC361A">
              <w:rPr>
                <w:rFonts w:ascii="Times New Roman" w:hAnsi="Times New Roman" w:cs="Times New Roman"/>
              </w:rPr>
              <w:t>§ 2º. As decisões sobre a admissibilidade desses recursos deverão ser publicadas no site do CARF, na parte do acompanhamento processual.</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FC361A" w:rsidRDefault="002B40EF" w:rsidP="00672572">
            <w:pPr>
              <w:spacing w:line="320" w:lineRule="exact"/>
              <w:jc w:val="both"/>
              <w:rPr>
                <w:rFonts w:ascii="Times New Roman" w:eastAsia="Arial" w:hAnsi="Times New Roman" w:cs="Times New Roman"/>
                <w:szCs w:val="24"/>
              </w:rPr>
            </w:pPr>
            <w:r w:rsidRPr="00FC361A">
              <w:rPr>
                <w:rFonts w:ascii="Times New Roman" w:hAnsi="Times New Roman" w:cs="Times New Roman"/>
              </w:rPr>
              <w:t>Para obediência ao princípio da publicidade e ao princípio da transparência</w:t>
            </w:r>
            <w:r w:rsidRPr="00FC361A">
              <w:rPr>
                <w:rFonts w:ascii="Times New Roman" w:hAnsi="Times New Roman" w:cs="Times New Roman"/>
                <w:spacing w:val="-1"/>
              </w:rPr>
              <w:t xml:space="preserve"> </w:t>
            </w:r>
            <w:r w:rsidRPr="00FC361A">
              <w:rPr>
                <w:rFonts w:ascii="Times New Roman" w:hAnsi="Times New Roman" w:cs="Times New Roman"/>
              </w:rPr>
              <w:t>se</w:t>
            </w:r>
            <w:r w:rsidRPr="00FC361A">
              <w:rPr>
                <w:rFonts w:ascii="Times New Roman" w:hAnsi="Times New Roman" w:cs="Times New Roman"/>
                <w:spacing w:val="-1"/>
              </w:rPr>
              <w:t xml:space="preserve"> </w:t>
            </w:r>
            <w:r w:rsidRPr="00FC361A">
              <w:rPr>
                <w:rFonts w:ascii="Times New Roman" w:hAnsi="Times New Roman" w:cs="Times New Roman"/>
              </w:rPr>
              <w:t>faz</w:t>
            </w:r>
            <w:r w:rsidRPr="00FC361A">
              <w:rPr>
                <w:rFonts w:ascii="Times New Roman" w:hAnsi="Times New Roman" w:cs="Times New Roman"/>
                <w:spacing w:val="-1"/>
              </w:rPr>
              <w:t xml:space="preserve"> </w:t>
            </w:r>
            <w:r w:rsidRPr="00FC361A">
              <w:rPr>
                <w:rFonts w:ascii="Times New Roman" w:hAnsi="Times New Roman" w:cs="Times New Roman"/>
              </w:rPr>
              <w:t>necessário</w:t>
            </w:r>
            <w:r w:rsidRPr="00FC361A">
              <w:rPr>
                <w:rFonts w:ascii="Times New Roman" w:hAnsi="Times New Roman" w:cs="Times New Roman"/>
                <w:spacing w:val="-1"/>
              </w:rPr>
              <w:t xml:space="preserve"> </w:t>
            </w:r>
            <w:r w:rsidRPr="00FC361A">
              <w:rPr>
                <w:rFonts w:ascii="Times New Roman" w:hAnsi="Times New Roman" w:cs="Times New Roman"/>
              </w:rPr>
              <w:t>que todos os despachos e decisões do processo sejam publicados, ainda que seja</w:t>
            </w:r>
            <w:r w:rsidRPr="00FC361A">
              <w:rPr>
                <w:rFonts w:ascii="Times New Roman" w:hAnsi="Times New Roman" w:cs="Times New Roman"/>
                <w:spacing w:val="-2"/>
              </w:rPr>
              <w:t xml:space="preserve"> </w:t>
            </w:r>
            <w:r w:rsidRPr="00FC361A">
              <w:rPr>
                <w:rFonts w:ascii="Times New Roman" w:hAnsi="Times New Roman" w:cs="Times New Roman"/>
              </w:rPr>
              <w:t>no</w:t>
            </w:r>
            <w:r w:rsidRPr="00FC361A">
              <w:rPr>
                <w:rFonts w:ascii="Times New Roman" w:hAnsi="Times New Roman" w:cs="Times New Roman"/>
                <w:spacing w:val="-1"/>
              </w:rPr>
              <w:t xml:space="preserve"> </w:t>
            </w:r>
            <w:r w:rsidRPr="00FC361A">
              <w:rPr>
                <w:rFonts w:ascii="Times New Roman" w:hAnsi="Times New Roman" w:cs="Times New Roman"/>
              </w:rPr>
              <w:t>sítio</w:t>
            </w:r>
            <w:r w:rsidRPr="00FC361A">
              <w:rPr>
                <w:rFonts w:ascii="Times New Roman" w:hAnsi="Times New Roman" w:cs="Times New Roman"/>
                <w:spacing w:val="-1"/>
              </w:rPr>
              <w:t xml:space="preserve"> </w:t>
            </w:r>
            <w:r w:rsidRPr="00FC361A">
              <w:rPr>
                <w:rFonts w:ascii="Times New Roman" w:hAnsi="Times New Roman" w:cs="Times New Roman"/>
              </w:rPr>
              <w:t>do</w:t>
            </w:r>
            <w:r w:rsidRPr="00FC361A">
              <w:rPr>
                <w:rFonts w:ascii="Times New Roman" w:hAnsi="Times New Roman" w:cs="Times New Roman"/>
                <w:spacing w:val="-1"/>
              </w:rPr>
              <w:t xml:space="preserve"> </w:t>
            </w:r>
            <w:r w:rsidRPr="00FC361A">
              <w:rPr>
                <w:rFonts w:ascii="Times New Roman" w:hAnsi="Times New Roman" w:cs="Times New Roman"/>
              </w:rPr>
              <w:t>acompanhamento processual.</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65</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 xml:space="preserve">§ 3º O Presidente não conhecerá os embargos intempestivos e, excepcionalmente, rejeitará os embargos em que as alegações de omissão, contradição ou obscuridade sejam manifestamente improcedentes ou não estiverem objetivamente apontadas. </w:t>
            </w:r>
          </w:p>
          <w:p w:rsidR="002B40EF" w:rsidRPr="00894FC2" w:rsidRDefault="002B40EF" w:rsidP="00672572">
            <w:pPr>
              <w:spacing w:line="320" w:lineRule="exact"/>
              <w:jc w:val="both"/>
              <w:rPr>
                <w:rFonts w:ascii="Times New Roman" w:eastAsia="Arial" w:hAnsi="Times New Roman" w:cs="Times New Roman"/>
              </w:rPr>
            </w:pPr>
            <w:r>
              <w:rPr>
                <w:rFonts w:ascii="Times New Roman" w:hAnsi="Times New Roman" w:cs="Times New Roman"/>
              </w:rPr>
              <w:t xml:space="preserve">§ 4º Do despacho que não conhecer ou rejeitar os embargos de declaração será dada ciência ao embargante, </w:t>
            </w:r>
            <w:r w:rsidRPr="00512052">
              <w:rPr>
                <w:rFonts w:ascii="Times New Roman" w:hAnsi="Times New Roman" w:cs="Times New Roman"/>
              </w:rPr>
              <w:t>ocasião em que poderá pleitear, no prazo de 05 (cinco) dias, a reanálise da admissibilidade pelo relator para, em caso de divergência, ser levado à apreciação preliminar da Turma e, se admitidos, dar prosseguimento ao julgamento dos embargos.</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Historicamente, a apreciação dos embargos de declaração era realizada pelo próprio relator. Com a alteração do RICARF, tal competência passou a ser do Presidente de Turma. Ocorre que, na prática, evidenciamos frequentes pontos de divergência entre o despacho de admissibilidade elaborado pelo Presidente e a posição do Relator. Da forma como está estruturado o dispositivo, o Presidente tem a prerrogativa de não conhecer ou rejeitar os embargos</w:t>
            </w:r>
            <w:r>
              <w:rPr>
                <w:rFonts w:ascii="Times New Roman" w:hAnsi="Times New Roman" w:cs="Times New Roman"/>
                <w:b/>
              </w:rPr>
              <w:t xml:space="preserve"> </w:t>
            </w:r>
            <w:r w:rsidRPr="00512052">
              <w:rPr>
                <w:rFonts w:ascii="Times New Roman" w:hAnsi="Times New Roman" w:cs="Times New Roman"/>
              </w:rPr>
              <w:t xml:space="preserve">em caráter definitivo. </w:t>
            </w:r>
            <w:r>
              <w:rPr>
                <w:rFonts w:ascii="Times New Roman" w:hAnsi="Times New Roman" w:cs="Times New Roman"/>
              </w:rPr>
              <w:t>Embora o autor dos embargos seja cientificado, não tem como submeter à um duplo juízo de admissibilidade, o que implica em potencial cerceamento do seu direito de defesa. Assim sendo, deve ser facultado ao contribuinte (ou a PGFN) pleitear a reanálise da admissibilidade pelo relator. Em caso de divergência, o processo deverá ser pautado, com a imputação das respectivas horas, para preliminarmente o Colegiado manifestar-se sobre a admissibilidade e, ato contínuo, apreciar os embargos se admitidos.</w:t>
            </w:r>
          </w:p>
          <w:p w:rsidR="002B40EF" w:rsidRDefault="002B40EF" w:rsidP="00672572">
            <w:pPr>
              <w:spacing w:line="320" w:lineRule="exact"/>
              <w:jc w:val="both"/>
              <w:rPr>
                <w:rFonts w:ascii="Times New Roman" w:hAnsi="Times New Roman" w:cs="Times New Roman"/>
              </w:rPr>
            </w:pPr>
            <w:r>
              <w:rPr>
                <w:rFonts w:ascii="Times New Roman" w:hAnsi="Times New Roman" w:cs="Times New Roman"/>
              </w:rPr>
              <w:t xml:space="preserve">Alternativamente, </w:t>
            </w:r>
            <w:r>
              <w:rPr>
                <w:rFonts w:ascii="Times New Roman" w:hAnsi="Times New Roman" w:cs="Times New Roman"/>
                <w:b/>
              </w:rPr>
              <w:t xml:space="preserve">há a possibilidade </w:t>
            </w:r>
            <w:proofErr w:type="gramStart"/>
            <w:r>
              <w:rPr>
                <w:rFonts w:ascii="Times New Roman" w:hAnsi="Times New Roman" w:cs="Times New Roman"/>
                <w:b/>
              </w:rPr>
              <w:t>do</w:t>
            </w:r>
            <w:proofErr w:type="gramEnd"/>
            <w:r>
              <w:rPr>
                <w:rFonts w:ascii="Times New Roman" w:hAnsi="Times New Roman" w:cs="Times New Roman"/>
                <w:b/>
              </w:rPr>
              <w:t xml:space="preserve"> relator assinar em conjunto com o Presidente (dupla admissibilidade obrigatória). Em caso de divergência, o recurso será admitido e levado à julgamento pelo colegiado</w:t>
            </w:r>
            <w:r>
              <w:rPr>
                <w:rFonts w:ascii="Times New Roman" w:hAnsi="Times New Roman" w:cs="Times New Roman"/>
              </w:rPr>
              <w:t xml:space="preserve">. </w:t>
            </w:r>
          </w:p>
          <w:p w:rsidR="002B40EF" w:rsidRDefault="002B40EF" w:rsidP="00672572">
            <w:pPr>
              <w:spacing w:line="320" w:lineRule="exact"/>
              <w:jc w:val="both"/>
              <w:rPr>
                <w:rFonts w:ascii="Times New Roman" w:hAnsi="Times New Roman" w:cs="Times New Roman"/>
                <w:b/>
              </w:rPr>
            </w:pPr>
            <w:r>
              <w:rPr>
                <w:rFonts w:ascii="Times New Roman" w:hAnsi="Times New Roman" w:cs="Times New Roman"/>
                <w:b/>
              </w:rPr>
              <w:t>§</w:t>
            </w:r>
            <w:proofErr w:type="gramStart"/>
            <w:r>
              <w:rPr>
                <w:rFonts w:ascii="Times New Roman" w:hAnsi="Times New Roman" w:cs="Times New Roman"/>
                <w:b/>
              </w:rPr>
              <w:t>º Na</w:t>
            </w:r>
            <w:proofErr w:type="gramEnd"/>
            <w:r>
              <w:rPr>
                <w:rFonts w:ascii="Times New Roman" w:hAnsi="Times New Roman" w:cs="Times New Roman"/>
                <w:b/>
              </w:rPr>
              <w:t xml:space="preserve"> hipótese do parágrafo anterior, o relator deverá apreciar, preliminarmente, o despacho para assinatura conjunta e, em caso de </w:t>
            </w:r>
            <w:r>
              <w:rPr>
                <w:rFonts w:ascii="Times New Roman" w:hAnsi="Times New Roman" w:cs="Times New Roman"/>
                <w:b/>
              </w:rPr>
              <w:lastRenderedPageBreak/>
              <w:t>divergência, o recurso será admitido total ou parcialmente e incluído na pauta de julgamento para apreciação da Turma.</w:t>
            </w:r>
          </w:p>
          <w:p w:rsidR="002B40EF" w:rsidRPr="00512052" w:rsidRDefault="002B40EF" w:rsidP="00672572">
            <w:pPr>
              <w:spacing w:line="320" w:lineRule="exact"/>
              <w:jc w:val="both"/>
              <w:rPr>
                <w:rFonts w:ascii="Times New Roman" w:eastAsia="Arial" w:hAnsi="Times New Roman" w:cs="Times New Roman"/>
                <w:szCs w:val="24"/>
              </w:rPr>
            </w:pPr>
            <w:r>
              <w:rPr>
                <w:rFonts w:ascii="Times New Roman" w:hAnsi="Times New Roman" w:cs="Times New Roman"/>
              </w:rPr>
              <w:t>De qualquer modo, a rejeição por manifesta improcedência ou ausência de demonstração objetiva deve ser sempre excepcional, dando-se preferência ao julgamento dos embargos pelo colegiado, órgão prolator da decisão embargada e competente para avaliar acerca da existência ou não dos vícios apontados.</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67, § 5º</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BB5404" w:rsidRDefault="002B40EF" w:rsidP="00672572">
            <w:pPr>
              <w:spacing w:line="320" w:lineRule="exact"/>
              <w:jc w:val="both"/>
              <w:rPr>
                <w:rFonts w:ascii="Times New Roman" w:eastAsia="Arial" w:hAnsi="Times New Roman" w:cs="Times New Roman"/>
              </w:rPr>
            </w:pPr>
            <w:r w:rsidRPr="00BB5404">
              <w:rPr>
                <w:rFonts w:ascii="Times New Roman" w:hAnsi="Times New Roman" w:cs="Times New Roman"/>
              </w:rPr>
              <w:t xml:space="preserve">§ 5º O recurso especial somente terá seguimento quanto à matéria </w:t>
            </w:r>
            <w:proofErr w:type="spellStart"/>
            <w:r w:rsidRPr="00BB5404">
              <w:rPr>
                <w:rFonts w:ascii="Times New Roman" w:hAnsi="Times New Roman" w:cs="Times New Roman"/>
              </w:rPr>
              <w:t>prequestionada</w:t>
            </w:r>
            <w:proofErr w:type="spellEnd"/>
            <w:r w:rsidRPr="00BB5404">
              <w:rPr>
                <w:rFonts w:ascii="Times New Roman" w:hAnsi="Times New Roman" w:cs="Times New Roman"/>
              </w:rPr>
              <w:t>, cabendo sua demonstração, com precisa indicação, nas peças processuais</w:t>
            </w:r>
            <w:r>
              <w:rPr>
                <w:rFonts w:ascii="Times New Roman" w:hAnsi="Times New Roman" w:cs="Times New Roman"/>
              </w:rPr>
              <w:t>.</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BB5404" w:rsidRDefault="002B40EF" w:rsidP="00672572">
            <w:pPr>
              <w:spacing w:line="320" w:lineRule="exact"/>
              <w:jc w:val="both"/>
              <w:rPr>
                <w:rFonts w:ascii="Times New Roman" w:hAnsi="Times New Roman" w:cs="Times New Roman"/>
              </w:rPr>
            </w:pPr>
            <w:r w:rsidRPr="00BB5404">
              <w:rPr>
                <w:rFonts w:ascii="Times New Roman" w:hAnsi="Times New Roman" w:cs="Times New Roman"/>
              </w:rPr>
              <w:t>A CSRF tem expressado entendimento de que apenas o Contribuinte teria de comprovar o prequestionamento da matéria, sem que tal requisito fosse aplicado ao recurso especial eventualmente apresentado pela Fazenda Nacional.</w:t>
            </w:r>
          </w:p>
          <w:p w:rsidR="002B40EF" w:rsidRPr="00CD4323" w:rsidRDefault="002B40EF" w:rsidP="00672572">
            <w:pPr>
              <w:spacing w:line="320" w:lineRule="exact"/>
              <w:jc w:val="both"/>
              <w:rPr>
                <w:rFonts w:ascii="Times New Roman" w:eastAsia="Arial" w:hAnsi="Times New Roman" w:cs="Times New Roman"/>
                <w:szCs w:val="24"/>
              </w:rPr>
            </w:pPr>
            <w:r w:rsidRPr="00BB5404">
              <w:rPr>
                <w:rFonts w:ascii="Times New Roman" w:hAnsi="Times New Roman" w:cs="Times New Roman"/>
              </w:rPr>
              <w:t>Além de referida diferenciação ofender o</w:t>
            </w:r>
            <w:r>
              <w:rPr>
                <w:rFonts w:ascii="Times New Roman" w:hAnsi="Times New Roman" w:cs="Times New Roman"/>
              </w:rPr>
              <w:t>s</w:t>
            </w:r>
            <w:r w:rsidRPr="00BB5404">
              <w:rPr>
                <w:rFonts w:ascii="Times New Roman" w:hAnsi="Times New Roman" w:cs="Times New Roman"/>
              </w:rPr>
              <w:t xml:space="preserve"> princípio</w:t>
            </w:r>
            <w:r>
              <w:rPr>
                <w:rFonts w:ascii="Times New Roman" w:hAnsi="Times New Roman" w:cs="Times New Roman"/>
              </w:rPr>
              <w:t>s</w:t>
            </w:r>
            <w:r w:rsidRPr="00BB5404">
              <w:rPr>
                <w:rFonts w:ascii="Times New Roman" w:hAnsi="Times New Roman" w:cs="Times New Roman"/>
              </w:rPr>
              <w:t xml:space="preserve"> da paridade de armas e do devido processo legal, possibilita à Fazenda Nacional apontar, em recurso especial, matéria que não fora objeto debate e decisão por parte das Câmaras ordinárias do CARF</w:t>
            </w:r>
            <w:r>
              <w:rPr>
                <w:rFonts w:ascii="Times New Roman" w:hAnsi="Times New Roman" w:cs="Times New Roman"/>
              </w:rPr>
              <w:t>, o que não é sequer razoável, mesmo porque operada a preclusão.</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 xml:space="preserve">Anexo II, Art. 68, § 6º </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81214F" w:rsidRDefault="002B40EF" w:rsidP="00672572">
            <w:pPr>
              <w:spacing w:line="320" w:lineRule="exact"/>
              <w:jc w:val="both"/>
              <w:rPr>
                <w:rFonts w:ascii="Times New Roman" w:eastAsia="Arial" w:hAnsi="Times New Roman" w:cs="Times New Roman"/>
              </w:rPr>
            </w:pPr>
            <w:r w:rsidRPr="0081214F">
              <w:rPr>
                <w:rFonts w:ascii="Times New Roman" w:hAnsi="Times New Roman" w:cs="Times New Roman"/>
              </w:rPr>
              <w:t xml:space="preserve">§ 6º. </w:t>
            </w:r>
            <w:r w:rsidRPr="0081214F">
              <w:rPr>
                <w:rFonts w:ascii="Times New Roman" w:eastAsia="Arial" w:hAnsi="Times New Roman" w:cs="Times New Roman"/>
              </w:rPr>
              <w:t>Deverá ser publicado no site do CARF o despacho de admissibilidade (ou inadmissibilidade) do Recurso Especial interposto</w:t>
            </w:r>
            <w:r w:rsidRPr="0081214F">
              <w:rPr>
                <w:rFonts w:ascii="Times New Roman" w:eastAsia="Arial" w:hAnsi="Times New Roman" w:cs="Times New Roman"/>
                <w:spacing w:val="-2"/>
              </w:rPr>
              <w:t xml:space="preserve"> </w:t>
            </w:r>
            <w:r w:rsidRPr="0081214F">
              <w:rPr>
                <w:rFonts w:ascii="Times New Roman" w:eastAsia="Arial" w:hAnsi="Times New Roman" w:cs="Times New Roman"/>
              </w:rPr>
              <w:t>pela</w:t>
            </w:r>
            <w:r w:rsidRPr="0081214F">
              <w:rPr>
                <w:rFonts w:ascii="Times New Roman" w:eastAsia="Arial" w:hAnsi="Times New Roman" w:cs="Times New Roman"/>
                <w:spacing w:val="-2"/>
              </w:rPr>
              <w:t xml:space="preserve"> </w:t>
            </w:r>
            <w:r w:rsidRPr="0081214F">
              <w:rPr>
                <w:rFonts w:ascii="Times New Roman" w:eastAsia="Arial" w:hAnsi="Times New Roman" w:cs="Times New Roman"/>
              </w:rPr>
              <w:t>PGFN</w:t>
            </w:r>
            <w:r w:rsidRPr="0081214F">
              <w:rPr>
                <w:rFonts w:ascii="Times New Roman" w:eastAsia="Arial" w:hAnsi="Times New Roman" w:cs="Times New Roman"/>
                <w:spacing w:val="-1"/>
              </w:rPr>
              <w:t xml:space="preserve"> </w:t>
            </w:r>
            <w:r w:rsidRPr="0081214F">
              <w:rPr>
                <w:rFonts w:ascii="Times New Roman" w:eastAsia="Arial" w:hAnsi="Times New Roman" w:cs="Times New Roman"/>
              </w:rPr>
              <w:t>ou</w:t>
            </w:r>
            <w:r w:rsidRPr="0081214F">
              <w:rPr>
                <w:rFonts w:ascii="Times New Roman" w:eastAsia="Arial" w:hAnsi="Times New Roman" w:cs="Times New Roman"/>
                <w:spacing w:val="-2"/>
              </w:rPr>
              <w:t xml:space="preserve"> </w:t>
            </w:r>
            <w:r w:rsidRPr="0081214F">
              <w:rPr>
                <w:rFonts w:ascii="Times New Roman" w:eastAsia="Arial" w:hAnsi="Times New Roman" w:cs="Times New Roman"/>
              </w:rPr>
              <w:t>pelo contribuinte</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FC361A" w:rsidRDefault="002B40EF" w:rsidP="00672572">
            <w:pPr>
              <w:spacing w:line="320" w:lineRule="exact"/>
              <w:jc w:val="both"/>
              <w:rPr>
                <w:rFonts w:ascii="Times New Roman" w:eastAsia="Arial" w:hAnsi="Times New Roman" w:cs="Times New Roman"/>
                <w:szCs w:val="24"/>
              </w:rPr>
            </w:pPr>
            <w:r w:rsidRPr="00FC361A">
              <w:rPr>
                <w:rFonts w:ascii="Times New Roman" w:hAnsi="Times New Roman" w:cs="Times New Roman"/>
              </w:rPr>
              <w:t>Para obediência ao princípio da publicidade e ao princípio da transparência</w:t>
            </w:r>
            <w:r w:rsidRPr="00FC361A">
              <w:rPr>
                <w:rFonts w:ascii="Times New Roman" w:hAnsi="Times New Roman" w:cs="Times New Roman"/>
                <w:spacing w:val="-1"/>
              </w:rPr>
              <w:t xml:space="preserve"> </w:t>
            </w:r>
            <w:r w:rsidRPr="00FC361A">
              <w:rPr>
                <w:rFonts w:ascii="Times New Roman" w:hAnsi="Times New Roman" w:cs="Times New Roman"/>
              </w:rPr>
              <w:t>se</w:t>
            </w:r>
            <w:r w:rsidRPr="00FC361A">
              <w:rPr>
                <w:rFonts w:ascii="Times New Roman" w:hAnsi="Times New Roman" w:cs="Times New Roman"/>
                <w:spacing w:val="-1"/>
              </w:rPr>
              <w:t xml:space="preserve"> </w:t>
            </w:r>
            <w:r w:rsidRPr="00FC361A">
              <w:rPr>
                <w:rFonts w:ascii="Times New Roman" w:hAnsi="Times New Roman" w:cs="Times New Roman"/>
              </w:rPr>
              <w:t>faz</w:t>
            </w:r>
            <w:r w:rsidRPr="00FC361A">
              <w:rPr>
                <w:rFonts w:ascii="Times New Roman" w:hAnsi="Times New Roman" w:cs="Times New Roman"/>
                <w:spacing w:val="-1"/>
              </w:rPr>
              <w:t xml:space="preserve"> </w:t>
            </w:r>
            <w:r w:rsidRPr="00FC361A">
              <w:rPr>
                <w:rFonts w:ascii="Times New Roman" w:hAnsi="Times New Roman" w:cs="Times New Roman"/>
              </w:rPr>
              <w:t>necessário</w:t>
            </w:r>
            <w:r w:rsidRPr="00FC361A">
              <w:rPr>
                <w:rFonts w:ascii="Times New Roman" w:hAnsi="Times New Roman" w:cs="Times New Roman"/>
                <w:spacing w:val="-1"/>
              </w:rPr>
              <w:t xml:space="preserve"> </w:t>
            </w:r>
            <w:r w:rsidRPr="00FC361A">
              <w:rPr>
                <w:rFonts w:ascii="Times New Roman" w:hAnsi="Times New Roman" w:cs="Times New Roman"/>
              </w:rPr>
              <w:t>que todos os despachos e decisões do processo sejam publicados, ainda que seja</w:t>
            </w:r>
            <w:r w:rsidRPr="00FC361A">
              <w:rPr>
                <w:rFonts w:ascii="Times New Roman" w:hAnsi="Times New Roman" w:cs="Times New Roman"/>
                <w:spacing w:val="-2"/>
              </w:rPr>
              <w:t xml:space="preserve"> </w:t>
            </w:r>
            <w:r w:rsidRPr="00FC361A">
              <w:rPr>
                <w:rFonts w:ascii="Times New Roman" w:hAnsi="Times New Roman" w:cs="Times New Roman"/>
              </w:rPr>
              <w:t>no</w:t>
            </w:r>
            <w:r w:rsidRPr="00FC361A">
              <w:rPr>
                <w:rFonts w:ascii="Times New Roman" w:hAnsi="Times New Roman" w:cs="Times New Roman"/>
                <w:spacing w:val="-1"/>
              </w:rPr>
              <w:t xml:space="preserve"> </w:t>
            </w:r>
            <w:r w:rsidRPr="00FC361A">
              <w:rPr>
                <w:rFonts w:ascii="Times New Roman" w:hAnsi="Times New Roman" w:cs="Times New Roman"/>
              </w:rPr>
              <w:t>sítio</w:t>
            </w:r>
            <w:r w:rsidRPr="00FC361A">
              <w:rPr>
                <w:rFonts w:ascii="Times New Roman" w:hAnsi="Times New Roman" w:cs="Times New Roman"/>
                <w:spacing w:val="-1"/>
              </w:rPr>
              <w:t xml:space="preserve"> </w:t>
            </w:r>
            <w:r w:rsidRPr="00FC361A">
              <w:rPr>
                <w:rFonts w:ascii="Times New Roman" w:hAnsi="Times New Roman" w:cs="Times New Roman"/>
              </w:rPr>
              <w:t>do</w:t>
            </w:r>
            <w:r w:rsidRPr="00FC361A">
              <w:rPr>
                <w:rFonts w:ascii="Times New Roman" w:hAnsi="Times New Roman" w:cs="Times New Roman"/>
                <w:spacing w:val="-1"/>
              </w:rPr>
              <w:t xml:space="preserve"> </w:t>
            </w:r>
            <w:r w:rsidRPr="00FC361A">
              <w:rPr>
                <w:rFonts w:ascii="Times New Roman" w:hAnsi="Times New Roman" w:cs="Times New Roman"/>
              </w:rPr>
              <w:t>acompanhamento processual.</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69</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Art. 69. Admitido o recurso especial interposto pelo Procurador da Fazenda Nacional, dele será dada ciência ao sujeito passivo, assegurando-lhe o prazo de 15 (quinze) dias para oferecer contrarrazões e, se for o caso, interpor recurso especial relativamente à parte do acórdão que lhe foi desfavorável.</w:t>
            </w:r>
          </w:p>
          <w:p w:rsidR="002B40EF" w:rsidRPr="00894FC2" w:rsidRDefault="002B40EF" w:rsidP="00672572">
            <w:pPr>
              <w:spacing w:line="320" w:lineRule="exact"/>
              <w:jc w:val="both"/>
              <w:rPr>
                <w:rFonts w:ascii="Times New Roman" w:eastAsia="Arial" w:hAnsi="Times New Roman" w:cs="Times New Roman"/>
              </w:rPr>
            </w:pPr>
            <w:r>
              <w:rPr>
                <w:rFonts w:ascii="Times New Roman" w:hAnsi="Times New Roman" w:cs="Times New Roman"/>
              </w:rPr>
              <w:lastRenderedPageBreak/>
              <w:t>Parágrafo único. Faculta-se ao contribuinte disputar, em sede de contrarrazões, os demais fundamentos para a solução do capítulo impugnado, cabendo à Turma da CSRF deliberar preliminarmente pelo julgamento da matéria, verificado o prejuízo do tema efetivamente arguido e não apreciado, ou determinar o retorno à instância inferior para exame do tema.</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lastRenderedPageBreak/>
              <w:t>Justificativa</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 xml:space="preserve">O recurso adesivo, na forma prevista pelo CPC, é cabível na hipótese de a parte restar vencida (CPC, art. 997, §1º). Diante disso, não haveria razão lógica processual para impor ao vencedor da disputa o ônus recursal. Esse é o motivo para a sugestão de supressão do recurso adesivo contra decisão integralmente favorável ao Recorrente. Não menos importante são as possíveis consequências dessa inovação no âmbito do processo administrativo no CARF: necessidade de novos embargos de declaração para prequestionamento em todos os casos, possível revisão de matéria probatória sem exame da câmara ordinária, dificuldade em comprovação da divergência, mais polêmica em relação ao despacho de admissibilidade e outras complexidades e disputas indesejadas. </w:t>
            </w:r>
          </w:p>
          <w:p w:rsidR="002B40EF" w:rsidRPr="00512052" w:rsidRDefault="002B40EF" w:rsidP="00672572">
            <w:pPr>
              <w:spacing w:line="320" w:lineRule="exact"/>
              <w:jc w:val="both"/>
              <w:rPr>
                <w:rFonts w:ascii="Times New Roman" w:eastAsia="Arial" w:hAnsi="Times New Roman" w:cs="Times New Roman"/>
                <w:szCs w:val="24"/>
              </w:rPr>
            </w:pPr>
            <w:r>
              <w:rPr>
                <w:rFonts w:ascii="Times New Roman" w:hAnsi="Times New Roman" w:cs="Times New Roman"/>
              </w:rPr>
              <w:t>Fazemos sugestão alternativa para criação de parágrafo único (seguindo o espírito do parágrafo único do artigo 1034 do CPC) enfatizando a amplitude de escopo das contrarrazões ao recurso especial, que devem justamente cumprir o objetivo originalmente almejado com a proposta de alteração, sempre a depender da decisão do colegiado na CSRF.</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70, par. único</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6D5124" w:rsidRDefault="002B40EF" w:rsidP="00672572">
            <w:pPr>
              <w:spacing w:line="320" w:lineRule="exact"/>
              <w:jc w:val="both"/>
              <w:rPr>
                <w:rFonts w:ascii="Times New Roman" w:eastAsia="Arial" w:hAnsi="Times New Roman" w:cs="Times New Roman"/>
              </w:rPr>
            </w:pPr>
            <w:r w:rsidRPr="006D5124">
              <w:rPr>
                <w:rFonts w:ascii="Times New Roman" w:hAnsi="Times New Roman" w:cs="Times New Roman"/>
              </w:rPr>
              <w:t>Parágrafo único. Faculta-se à Fazenda Nacional disputar, em sede de contrarrazões, os demais fundamentos para a solução do capítulo impugnado, cabendo à Turma da CSRF deliberar preliminarmente pelo julgamento da matéria, verificado o prejuízo do tema efetivamente arguido e não apreciado, ou determinar o retorno à instância inferior para exame do tema</w:t>
            </w:r>
            <w:r>
              <w:rPr>
                <w:rFonts w:ascii="Times New Roman" w:hAnsi="Times New Roman" w:cs="Times New Roman"/>
              </w:rPr>
              <w:t>.</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6D5124" w:rsidRDefault="002B40EF" w:rsidP="00672572">
            <w:pPr>
              <w:spacing w:line="320" w:lineRule="exact"/>
              <w:jc w:val="both"/>
              <w:rPr>
                <w:rFonts w:ascii="Times New Roman" w:eastAsia="Arial" w:hAnsi="Times New Roman" w:cs="Times New Roman"/>
              </w:rPr>
            </w:pPr>
            <w:r w:rsidRPr="006D5124">
              <w:rPr>
                <w:rFonts w:ascii="Times New Roman" w:eastAsia="Arial" w:hAnsi="Times New Roman" w:cs="Times New Roman"/>
              </w:rPr>
              <w:t>O recurso adesivo, na forma prevista pelo CPC, é cabível na hipótese d</w:t>
            </w:r>
            <w:r>
              <w:rPr>
                <w:rFonts w:ascii="Times New Roman" w:eastAsia="Arial" w:hAnsi="Times New Roman" w:cs="Times New Roman"/>
              </w:rPr>
              <w:t xml:space="preserve">e </w:t>
            </w:r>
            <w:r w:rsidRPr="006D5124">
              <w:rPr>
                <w:rFonts w:ascii="Times New Roman" w:eastAsia="Arial" w:hAnsi="Times New Roman" w:cs="Times New Roman"/>
              </w:rPr>
              <w:t>a parte restar vencida (CPC, art. 997, §1º).</w:t>
            </w:r>
          </w:p>
          <w:p w:rsidR="002B40EF" w:rsidRPr="006D5124" w:rsidRDefault="002B40EF" w:rsidP="00672572">
            <w:pPr>
              <w:spacing w:line="320" w:lineRule="exact"/>
              <w:jc w:val="both"/>
              <w:rPr>
                <w:rFonts w:ascii="Times New Roman" w:eastAsia="Arial" w:hAnsi="Times New Roman" w:cs="Times New Roman"/>
              </w:rPr>
            </w:pPr>
            <w:r w:rsidRPr="006D5124">
              <w:rPr>
                <w:rFonts w:ascii="Times New Roman" w:hAnsi="Times New Roman" w:cs="Times New Roman"/>
              </w:rPr>
              <w:t xml:space="preserve">Diante disso, não haveria razão lógica processual para impor ao vencedor da disputa o ônus recursal. Esse é o motivo para a sugestão de supressão do recurso adesivo contra decisão integralmente favorável ao Recorrente. Não menos importante são as possíveis consequências dessa inovação no âmbito do processo administrativo no CARF: necessidade de novos embargos de declaração para prequestionamento em todos os casos, possível revisão de matéria probatória sem </w:t>
            </w:r>
            <w:r w:rsidRPr="006D5124">
              <w:rPr>
                <w:rFonts w:ascii="Times New Roman" w:hAnsi="Times New Roman" w:cs="Times New Roman"/>
              </w:rPr>
              <w:lastRenderedPageBreak/>
              <w:t>exame da câmara ordinária, dificuldade em comprovação da divergência, mais polêmica em relação</w:t>
            </w:r>
            <w:r>
              <w:rPr>
                <w:rFonts w:ascii="Times New Roman" w:hAnsi="Times New Roman" w:cs="Times New Roman"/>
              </w:rPr>
              <w:t xml:space="preserve"> </w:t>
            </w:r>
            <w:r w:rsidRPr="006D5124">
              <w:rPr>
                <w:rFonts w:ascii="Times New Roman" w:hAnsi="Times New Roman" w:cs="Times New Roman"/>
              </w:rPr>
              <w:t>ao despacho de admissibilidade e outras complexidades e disputas indesejadas.</w:t>
            </w:r>
          </w:p>
          <w:p w:rsidR="002B40EF" w:rsidRPr="00FC361A" w:rsidRDefault="002B40EF" w:rsidP="00672572">
            <w:pPr>
              <w:spacing w:line="320" w:lineRule="exact"/>
              <w:jc w:val="both"/>
              <w:rPr>
                <w:rFonts w:ascii="Times New Roman" w:eastAsia="Arial" w:hAnsi="Times New Roman" w:cs="Times New Roman"/>
                <w:szCs w:val="24"/>
              </w:rPr>
            </w:pPr>
            <w:r w:rsidRPr="006D5124">
              <w:rPr>
                <w:rFonts w:ascii="Times New Roman" w:hAnsi="Times New Roman" w:cs="Times New Roman"/>
              </w:rPr>
              <w:t>Fazemos sugestão alternativa para criação de parágrafo único (seguindo o espírito do parágrafo único do artigo 1034 do CPC) enfatizando a amplitude de escopo das contrarrazões ao recurso especial, que devem justamente cumprir</w:t>
            </w:r>
            <w:r>
              <w:rPr>
                <w:rFonts w:ascii="Times New Roman" w:hAnsi="Times New Roman" w:cs="Times New Roman"/>
              </w:rPr>
              <w:t xml:space="preserve"> </w:t>
            </w:r>
            <w:r w:rsidRPr="006D5124">
              <w:rPr>
                <w:rFonts w:ascii="Times New Roman" w:hAnsi="Times New Roman" w:cs="Times New Roman"/>
              </w:rPr>
              <w:t xml:space="preserve">o objetivo originalmente almejado com a proposta de alteração, </w:t>
            </w:r>
            <w:r>
              <w:rPr>
                <w:rFonts w:ascii="Times New Roman" w:hAnsi="Times New Roman" w:cs="Times New Roman"/>
              </w:rPr>
              <w:t>sempre a</w:t>
            </w:r>
            <w:r w:rsidRPr="006D5124">
              <w:rPr>
                <w:rFonts w:ascii="Times New Roman" w:hAnsi="Times New Roman" w:cs="Times New Roman"/>
              </w:rPr>
              <w:t xml:space="preserve"> depender da decisão do colegiado na CSRF.</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70</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Art. 70. Admitido o recurso especial interposto pelo contribuinte, dele será dada ciência ao Procurador da Fazenda Nacional, assegurando-lhe o prazo de 15 (quinze) dias para oferecer contrarrazões.</w:t>
            </w:r>
          </w:p>
          <w:p w:rsidR="002B40EF" w:rsidRPr="00894FC2" w:rsidRDefault="002B40EF" w:rsidP="00672572">
            <w:pPr>
              <w:spacing w:line="320" w:lineRule="exact"/>
              <w:jc w:val="both"/>
              <w:rPr>
                <w:rFonts w:ascii="Times New Roman" w:eastAsia="Arial" w:hAnsi="Times New Roman" w:cs="Times New Roman"/>
              </w:rPr>
            </w:pPr>
            <w:r>
              <w:rPr>
                <w:rFonts w:ascii="Times New Roman" w:hAnsi="Times New Roman" w:cs="Times New Roman"/>
              </w:rPr>
              <w:t>Parágrafo único. Faculta-se à Fazenda Nacional disputar, em sede de contrarrazões, os demais fundamentos para a solução do capítulo impugnado, cabendo à Turma da CSRF deliberar preliminarmente pelo julgamento da matéria, verificado o prejuízo do tema efetivamente arguido e não apreciado, ou determinar o retorno à instância inferior para exame do tema.</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 xml:space="preserve">O recurso adesivo, na forma prevista pelo CPC, é cabível na hipótese de a parte restar vencida (CPC, art. 997, §1º). Diante disso, não haveria razão lógica processual para impor ao vencedor da disputa o ônus recursal. Esse é o motivo para a sugestão de supressão do recurso adesivo contra decisão integralmente favorável ao Recorrente. Não menos importante são as possíveis consequências dessa inovação no âmbito do processo administrativo no CARF: necessidade de novos embargos de declaração para prequestionamento em todos os casos, possível revisão de matéria probatória sem exame da câmara ordinária, dificuldade em comprovação da divergência, mais polêmica em relação ao despacho de admissibilidade e outras complexidades e disputas indesejadas. </w:t>
            </w:r>
          </w:p>
          <w:p w:rsidR="002B40EF" w:rsidRPr="00512052" w:rsidRDefault="002B40EF" w:rsidP="00672572">
            <w:pPr>
              <w:spacing w:line="320" w:lineRule="exact"/>
              <w:jc w:val="both"/>
              <w:rPr>
                <w:rFonts w:ascii="Times New Roman" w:eastAsia="Arial" w:hAnsi="Times New Roman" w:cs="Times New Roman"/>
                <w:szCs w:val="24"/>
              </w:rPr>
            </w:pPr>
            <w:r>
              <w:rPr>
                <w:rFonts w:ascii="Times New Roman" w:hAnsi="Times New Roman" w:cs="Times New Roman"/>
              </w:rPr>
              <w:t>Fazemos sugestão alternativa para criação de parágrafo único (seguindo o espírito do parágrafo único do artigo 1034 do CPC) enfatizando a amplitude de escopo das contrarrazões ao recurso especial, que devem justamente cumprir o objetivo originalmente almejado com a proposta de alteração, sempre a depender da decisão do colegiado na CSRF.</w:t>
            </w:r>
          </w:p>
        </w:tc>
      </w:tr>
    </w:tbl>
    <w:p w:rsidR="002B40EF" w:rsidRDefault="002B40EF"/>
    <w:p w:rsidR="002B40EF" w:rsidRDefault="002B40EF"/>
    <w:tbl>
      <w:tblPr>
        <w:tblStyle w:val="Tabelacomgrade"/>
        <w:tblW w:w="10348" w:type="dxa"/>
        <w:tblInd w:w="-714" w:type="dxa"/>
        <w:tblLook w:val="04A0" w:firstRow="1" w:lastRow="0" w:firstColumn="1" w:lastColumn="0" w:noHBand="0" w:noVBand="1"/>
      </w:tblPr>
      <w:tblGrid>
        <w:gridCol w:w="2977"/>
        <w:gridCol w:w="7371"/>
      </w:tblGrid>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lastRenderedPageBreak/>
              <w:t>Dispositivo</w:t>
            </w:r>
          </w:p>
        </w:tc>
        <w:tc>
          <w:tcPr>
            <w:tcW w:w="7371" w:type="dxa"/>
          </w:tcPr>
          <w:p w:rsidR="002B40EF" w:rsidRDefault="002B40EF" w:rsidP="00672572">
            <w:pPr>
              <w:spacing w:line="320" w:lineRule="exact"/>
              <w:jc w:val="both"/>
              <w:rPr>
                <w:rFonts w:ascii="Times New Roman" w:hAnsi="Times New Roman" w:cs="Times New Roman"/>
              </w:rPr>
            </w:pPr>
            <w:r>
              <w:rPr>
                <w:rFonts w:ascii="Times New Roman" w:hAnsi="Times New Roman" w:cs="Times New Roman"/>
              </w:rPr>
              <w:t>Anexo II, Art. 71, § 6º</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Redação Proposta</w:t>
            </w:r>
          </w:p>
        </w:tc>
        <w:tc>
          <w:tcPr>
            <w:tcW w:w="7371" w:type="dxa"/>
          </w:tcPr>
          <w:p w:rsidR="002B40EF" w:rsidRPr="00CD4323" w:rsidRDefault="002B40EF" w:rsidP="00672572">
            <w:pPr>
              <w:spacing w:line="320" w:lineRule="exact"/>
              <w:jc w:val="both"/>
              <w:rPr>
                <w:rFonts w:ascii="Times New Roman" w:eastAsia="Arial" w:hAnsi="Times New Roman" w:cs="Times New Roman"/>
              </w:rPr>
            </w:pPr>
            <w:r w:rsidRPr="00CD4323">
              <w:rPr>
                <w:rFonts w:ascii="Times New Roman" w:hAnsi="Times New Roman" w:cs="Times New Roman"/>
              </w:rPr>
              <w:t>§ 6º</w:t>
            </w:r>
            <w:r w:rsidRPr="00CD4323">
              <w:rPr>
                <w:rFonts w:ascii="Times New Roman" w:hAnsi="Times New Roman" w:cs="Times New Roman"/>
                <w:lang w:val="pt"/>
              </w:rPr>
              <w:t xml:space="preserve"> Será definitivo o despacho de agravo do Presidente da CSRF, sendo cabível, apenas, apresentação de pedido de reconsideração.</w:t>
            </w:r>
          </w:p>
        </w:tc>
      </w:tr>
      <w:tr w:rsidR="002B40EF" w:rsidTr="00672572">
        <w:tc>
          <w:tcPr>
            <w:tcW w:w="2977" w:type="dxa"/>
            <w:shd w:val="clear" w:color="auto" w:fill="F2F2F2" w:themeFill="background1" w:themeFillShade="F2"/>
            <w:vAlign w:val="center"/>
          </w:tcPr>
          <w:p w:rsidR="002B40EF" w:rsidRDefault="002B40EF" w:rsidP="00672572">
            <w:pPr>
              <w:spacing w:line="320" w:lineRule="exact"/>
              <w:jc w:val="center"/>
              <w:rPr>
                <w:rFonts w:ascii="Times New Roman" w:hAnsi="Times New Roman" w:cs="Times New Roman"/>
                <w:b/>
                <w:bCs/>
              </w:rPr>
            </w:pPr>
            <w:r>
              <w:rPr>
                <w:rFonts w:ascii="Times New Roman" w:hAnsi="Times New Roman" w:cs="Times New Roman"/>
                <w:b/>
                <w:bCs/>
              </w:rPr>
              <w:t>Justificativa</w:t>
            </w:r>
          </w:p>
        </w:tc>
        <w:tc>
          <w:tcPr>
            <w:tcW w:w="7371" w:type="dxa"/>
          </w:tcPr>
          <w:p w:rsidR="002B40EF" w:rsidRPr="00CD4323" w:rsidRDefault="002B40EF" w:rsidP="00672572">
            <w:pPr>
              <w:spacing w:line="320" w:lineRule="exact"/>
              <w:jc w:val="both"/>
              <w:rPr>
                <w:rFonts w:ascii="Times New Roman" w:eastAsia="Arial" w:hAnsi="Times New Roman" w:cs="Times New Roman"/>
                <w:szCs w:val="24"/>
              </w:rPr>
            </w:pPr>
            <w:r>
              <w:rPr>
                <w:rFonts w:ascii="Times New Roman" w:hAnsi="Times New Roman" w:cs="Times New Roman"/>
              </w:rPr>
              <w:t>O</w:t>
            </w:r>
            <w:r w:rsidRPr="00CD4323">
              <w:rPr>
                <w:rFonts w:ascii="Times New Roman" w:hAnsi="Times New Roman" w:cs="Times New Roman"/>
              </w:rPr>
              <w:t xml:space="preserve"> pedido de reconsideração ao próprio prolator da decisão não caracteriza recurso e justifica-se inclusive como medida d</w:t>
            </w:r>
            <w:r>
              <w:rPr>
                <w:rFonts w:ascii="Times New Roman" w:hAnsi="Times New Roman" w:cs="Times New Roman"/>
              </w:rPr>
              <w:t>a pretendida</w:t>
            </w:r>
            <w:r w:rsidRPr="00CD4323">
              <w:rPr>
                <w:rFonts w:ascii="Times New Roman" w:hAnsi="Times New Roman" w:cs="Times New Roman"/>
              </w:rPr>
              <w:t xml:space="preserve"> celeridade, afastando a propositura de medida judicial para assegurar a tramitação do agravo, em especial em casos de omissão ou erro material.</w:t>
            </w:r>
          </w:p>
        </w:tc>
      </w:tr>
    </w:tbl>
    <w:p w:rsidR="002B40EF" w:rsidRDefault="002B40EF">
      <w:bookmarkStart w:id="0" w:name="_GoBack"/>
      <w:bookmarkEnd w:id="0"/>
    </w:p>
    <w:sectPr w:rsidR="002B40EF" w:rsidSect="00FD51CC">
      <w:headerReference w:type="default" r:id="rId6"/>
      <w:footerReference w:type="default" r:id="rId7"/>
      <w:pgSz w:w="11906" w:h="16838"/>
      <w:pgMar w:top="1417" w:right="1701" w:bottom="1417" w:left="1701"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D5E" w:rsidRDefault="00667D5E" w:rsidP="00667D5E">
      <w:pPr>
        <w:spacing w:after="0" w:line="240" w:lineRule="auto"/>
      </w:pPr>
      <w:r>
        <w:separator/>
      </w:r>
    </w:p>
  </w:endnote>
  <w:endnote w:type="continuationSeparator" w:id="0">
    <w:p w:rsidR="00667D5E" w:rsidRDefault="00667D5E" w:rsidP="00667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D5E" w:rsidRPr="00867639" w:rsidRDefault="00FD51CC" w:rsidP="00FD51CC">
    <w:pPr>
      <w:pStyle w:val="Rodap"/>
      <w:ind w:left="-1276"/>
      <w:rPr>
        <w:rFonts w:ascii="Arial" w:hAnsi="Arial" w:cs="Arial"/>
        <w:sz w:val="16"/>
      </w:rPr>
    </w:pPr>
    <w:r>
      <w:rPr>
        <w:rFonts w:ascii="Arial" w:hAnsi="Arial" w:cs="Arial"/>
        <w:noProof/>
        <w:sz w:val="16"/>
        <w:lang w:eastAsia="pt-BR"/>
      </w:rPr>
      <w:drawing>
        <wp:inline distT="0" distB="0" distL="0" distR="0" wp14:anchorId="2A2B26E5">
          <wp:extent cx="7112000" cy="11811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12000" cy="11811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D5E" w:rsidRDefault="00667D5E" w:rsidP="00667D5E">
      <w:pPr>
        <w:spacing w:after="0" w:line="240" w:lineRule="auto"/>
      </w:pPr>
      <w:r>
        <w:separator/>
      </w:r>
    </w:p>
  </w:footnote>
  <w:footnote w:type="continuationSeparator" w:id="0">
    <w:p w:rsidR="00667D5E" w:rsidRDefault="00667D5E" w:rsidP="00667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D5E" w:rsidRDefault="00FD51CC">
    <w:pPr>
      <w:pStyle w:val="Cabealho"/>
    </w:pPr>
    <w:r>
      <w:rPr>
        <w:noProof/>
        <w:lang w:eastAsia="pt-BR"/>
      </w:rPr>
      <w:drawing>
        <wp:anchor distT="0" distB="0" distL="114300" distR="114300" simplePos="0" relativeHeight="251658240" behindDoc="0" locked="0" layoutInCell="1" allowOverlap="0">
          <wp:simplePos x="0" y="0"/>
          <wp:positionH relativeFrom="column">
            <wp:posOffset>-387985</wp:posOffset>
          </wp:positionH>
          <wp:positionV relativeFrom="paragraph">
            <wp:posOffset>-353060</wp:posOffset>
          </wp:positionV>
          <wp:extent cx="6420485" cy="1451610"/>
          <wp:effectExtent l="0" t="0" r="0" b="0"/>
          <wp:wrapSquare wrapText="bothSides"/>
          <wp:docPr id="1" name="Imagem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extLst>
                      <a:ext uri="{28A0092B-C50C-407E-A947-70E740481C1C}">
                        <a14:useLocalDpi xmlns:a14="http://schemas.microsoft.com/office/drawing/2010/main" val="0"/>
                      </a:ext>
                    </a:extLst>
                  </a:blip>
                  <a:srcRect t="-717" r="6140"/>
                  <a:stretch>
                    <a:fillRect/>
                  </a:stretch>
                </pic:blipFill>
                <pic:spPr bwMode="auto">
                  <a:xfrm>
                    <a:off x="0" y="0"/>
                    <a:ext cx="6420485" cy="14516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D9E"/>
    <w:rsid w:val="000D1129"/>
    <w:rsid w:val="001A0D9E"/>
    <w:rsid w:val="002B40EF"/>
    <w:rsid w:val="00667D5E"/>
    <w:rsid w:val="00867639"/>
    <w:rsid w:val="009A0770"/>
    <w:rsid w:val="00E55BE7"/>
    <w:rsid w:val="00FD51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F0ECA27"/>
  <w15:chartTrackingRefBased/>
  <w15:docId w15:val="{25874E07-8761-4D0A-B70E-53DC8559E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D9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1A0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667D5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67D5E"/>
  </w:style>
  <w:style w:type="paragraph" w:styleId="Rodap">
    <w:name w:val="footer"/>
    <w:basedOn w:val="Normal"/>
    <w:link w:val="RodapChar"/>
    <w:uiPriority w:val="99"/>
    <w:unhideWhenUsed/>
    <w:rsid w:val="00667D5E"/>
    <w:pPr>
      <w:tabs>
        <w:tab w:val="center" w:pos="4252"/>
        <w:tab w:val="right" w:pos="8504"/>
      </w:tabs>
      <w:spacing w:after="0" w:line="240" w:lineRule="auto"/>
    </w:pPr>
  </w:style>
  <w:style w:type="character" w:customStyle="1" w:styleId="RodapChar">
    <w:name w:val="Rodapé Char"/>
    <w:basedOn w:val="Fontepargpadro"/>
    <w:link w:val="Rodap"/>
    <w:uiPriority w:val="99"/>
    <w:rsid w:val="00667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12</Pages>
  <Words>3774</Words>
  <Characters>20382</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Mário Costa</dc:creator>
  <cp:keywords/>
  <dc:description/>
  <cp:lastModifiedBy>Daniel Nunes Vieira Pinheiro de Castro</cp:lastModifiedBy>
  <cp:revision>3</cp:revision>
  <dcterms:created xsi:type="dcterms:W3CDTF">2020-03-10T17:18:00Z</dcterms:created>
  <dcterms:modified xsi:type="dcterms:W3CDTF">2020-03-10T17:33:00Z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_x000d_1851423v1 1829/1 </vt:lpwstr>
  </property>
</Properties>
</file>